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614DFDA9" w:rsidR="00B645DC" w:rsidRPr="009A773C" w:rsidRDefault="00DC5D3C" w:rsidP="009A773C">
      <w:pPr>
        <w:tabs>
          <w:tab w:val="center" w:pos="4819"/>
          <w:tab w:val="right" w:pos="9638"/>
        </w:tabs>
        <w:jc w:val="both"/>
        <w:rPr>
          <w:rFonts w:ascii="Titillium Web" w:eastAsia="Arial" w:hAnsi="Titillium Web" w:cs="Arial"/>
          <w:b/>
          <w:i/>
          <w:sz w:val="22"/>
          <w:szCs w:val="22"/>
        </w:rPr>
      </w:pPr>
      <w:r w:rsidRPr="000540F4">
        <w:rPr>
          <w:rFonts w:ascii="Titillium Web" w:eastAsia="Arial" w:hAnsi="Titillium Web" w:cs="Arial"/>
          <w:sz w:val="22"/>
          <w:szCs w:val="22"/>
        </w:rPr>
        <w:t>di essere ammesso a partecipare alla procedura di selezione pubblica per titoli, integrata da un colloquio, per il conferimento di un assegno per lo svolgimento di attività di ricerca, tipologica “Post dottorato” di durata annuale, dal titolo: “</w:t>
      </w:r>
      <w:r w:rsidR="009A773C" w:rsidRPr="009A773C">
        <w:rPr>
          <w:rFonts w:ascii="Titillium Web" w:eastAsia="Arial" w:hAnsi="Titillium Web" w:cs="Arial"/>
          <w:b/>
          <w:i/>
          <w:sz w:val="22"/>
          <w:szCs w:val="22"/>
        </w:rPr>
        <w:t>“</w:t>
      </w:r>
      <w:proofErr w:type="spellStart"/>
      <w:r w:rsidR="009A773C" w:rsidRPr="009A773C">
        <w:rPr>
          <w:rFonts w:ascii="Titillium Web" w:eastAsia="Arial" w:hAnsi="Titillium Web" w:cs="Arial"/>
          <w:b/>
          <w:i/>
          <w:sz w:val="22"/>
          <w:szCs w:val="22"/>
        </w:rPr>
        <w:t>Tests</w:t>
      </w:r>
      <w:proofErr w:type="spellEnd"/>
      <w:r w:rsidR="009A773C" w:rsidRPr="009A773C">
        <w:rPr>
          <w:rFonts w:ascii="Titillium Web" w:eastAsia="Arial" w:hAnsi="Titillium Web" w:cs="Arial"/>
          <w:b/>
          <w:i/>
          <w:sz w:val="22"/>
          <w:szCs w:val="22"/>
        </w:rPr>
        <w:t xml:space="preserve"> of </w:t>
      </w:r>
      <w:proofErr w:type="spellStart"/>
      <w:r w:rsidR="009A773C" w:rsidRPr="009A773C">
        <w:rPr>
          <w:rFonts w:ascii="Titillium Web" w:eastAsia="Arial" w:hAnsi="Titillium Web" w:cs="Arial"/>
          <w:b/>
          <w:i/>
          <w:sz w:val="22"/>
          <w:szCs w:val="22"/>
        </w:rPr>
        <w:t>gravity</w:t>
      </w:r>
      <w:proofErr w:type="spellEnd"/>
      <w:r w:rsidR="009A773C" w:rsidRPr="009A773C">
        <w:rPr>
          <w:rFonts w:ascii="Titillium Web" w:eastAsia="Arial" w:hAnsi="Titillium Web" w:cs="Arial"/>
          <w:b/>
          <w:i/>
          <w:sz w:val="22"/>
          <w:szCs w:val="22"/>
        </w:rPr>
        <w:t xml:space="preserve"> with pulsar</w:t>
      </w:r>
      <w:r w:rsidR="009A773C">
        <w:rPr>
          <w:rFonts w:ascii="Titillium Web" w:eastAsia="Arial" w:hAnsi="Titillium Web" w:cs="Arial"/>
          <w:b/>
          <w:i/>
          <w:sz w:val="22"/>
          <w:szCs w:val="22"/>
        </w:rPr>
        <w:t xml:space="preserve"> </w:t>
      </w:r>
      <w:r w:rsidR="009A773C" w:rsidRPr="009A773C">
        <w:rPr>
          <w:rFonts w:ascii="Titillium Web" w:eastAsia="Arial" w:hAnsi="Titillium Web" w:cs="Arial"/>
          <w:b/>
          <w:i/>
          <w:sz w:val="22"/>
          <w:szCs w:val="22"/>
        </w:rPr>
        <w:t>timing</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273791">
        <w:rPr>
          <w:rFonts w:ascii="Titillium Web" w:eastAsia="Arial" w:hAnsi="Titillium Web" w:cs="Arial"/>
          <w:sz w:val="22"/>
          <w:szCs w:val="22"/>
        </w:rPr>
        <w:t>2</w:t>
      </w:r>
      <w:r w:rsidR="009A773C">
        <w:rPr>
          <w:rFonts w:ascii="Titillium Web" w:eastAsia="Arial" w:hAnsi="Titillium Web" w:cs="Arial"/>
          <w:sz w:val="22"/>
          <w:szCs w:val="22"/>
        </w:rPr>
        <w:t>2</w:t>
      </w:r>
      <w:r w:rsidR="000540F4">
        <w:rPr>
          <w:rFonts w:ascii="Titillium Web" w:eastAsia="Arial" w:hAnsi="Titillium Web" w:cs="Arial"/>
          <w:sz w:val="22"/>
          <w:szCs w:val="22"/>
        </w:rPr>
        <w:t xml:space="preserve"> novembre 2023</w:t>
      </w:r>
      <w:r w:rsidRPr="000540F4">
        <w:rPr>
          <w:rFonts w:ascii="Titillium Web" w:eastAsia="Arial" w:hAnsi="Titillium Web" w:cs="Arial"/>
          <w:sz w:val="22"/>
          <w:szCs w:val="22"/>
        </w:rPr>
        <w:t>, n.</w:t>
      </w:r>
      <w:r w:rsidR="009A773C">
        <w:rPr>
          <w:rFonts w:ascii="Titillium Web" w:eastAsia="Arial" w:hAnsi="Titillium Web" w:cs="Arial"/>
          <w:sz w:val="22"/>
          <w:szCs w:val="22"/>
        </w:rPr>
        <w:t xml:space="preserve"> 203.</w:t>
      </w:r>
    </w:p>
    <w:p w14:paraId="2CC3012D" w14:textId="49C7D7EF" w:rsidR="003504A6" w:rsidRPr="00757A4B" w:rsidRDefault="003504A6" w:rsidP="00757A4B">
      <w:pPr>
        <w:spacing w:after="100"/>
        <w:jc w:val="both"/>
        <w:rPr>
          <w:rFonts w:ascii="Titillium Web" w:hAnsi="Titillium Web"/>
          <w:i/>
          <w:iCs/>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 xml:space="preserve">Requests to be admitted to the selection for the postdoctoral research assistant position with title </w:t>
      </w:r>
      <w:r w:rsidR="00757A4B" w:rsidRPr="00757A4B">
        <w:rPr>
          <w:rFonts w:ascii="Titillium Web" w:hAnsi="Titillium Web"/>
          <w:i/>
          <w:iCs/>
          <w:color w:val="0000FF"/>
          <w:sz w:val="20"/>
          <w:szCs w:val="20"/>
          <w:lang w:val="en-US"/>
        </w:rPr>
        <w:t>“Tests of gravity with pulsar</w:t>
      </w:r>
      <w:r w:rsidR="00757A4B">
        <w:rPr>
          <w:rFonts w:ascii="Titillium Web" w:hAnsi="Titillium Web"/>
          <w:i/>
          <w:iCs/>
          <w:color w:val="0000FF"/>
          <w:sz w:val="20"/>
          <w:szCs w:val="20"/>
          <w:lang w:val="en-US"/>
        </w:rPr>
        <w:t xml:space="preserve"> t</w:t>
      </w:r>
      <w:r w:rsidR="00757A4B" w:rsidRPr="00757A4B">
        <w:rPr>
          <w:rFonts w:ascii="Titillium Web" w:hAnsi="Titillium Web"/>
          <w:i/>
          <w:iCs/>
          <w:color w:val="0000FF"/>
          <w:sz w:val="20"/>
          <w:szCs w:val="20"/>
          <w:lang w:val="en-US"/>
        </w:rPr>
        <w:t>iming”</w:t>
      </w:r>
      <w:r w:rsidR="00EF3130" w:rsidRPr="005E211F">
        <w:rPr>
          <w:rFonts w:ascii="Titillium Web" w:hAnsi="Titillium Web"/>
          <w:i/>
          <w:iCs/>
          <w:color w:val="0000FF"/>
          <w:sz w:val="20"/>
          <w:szCs w:val="20"/>
          <w:lang w:val="en-US"/>
        </w:rPr>
        <w:t>” at</w:t>
      </w:r>
      <w:r w:rsidR="00757A4B">
        <w:rPr>
          <w:rFonts w:ascii="Titillium Web" w:hAnsi="Titillium Web"/>
          <w:i/>
          <w:iCs/>
          <w:color w:val="0000FF"/>
          <w:sz w:val="20"/>
          <w:szCs w:val="20"/>
          <w:lang w:val="en-US"/>
        </w:rPr>
        <w:t xml:space="preserve"> </w:t>
      </w:r>
      <w:r w:rsidR="00EF3130" w:rsidRPr="005E211F">
        <w:rPr>
          <w:rFonts w:ascii="Titillium Web" w:hAnsi="Titillium Web"/>
          <w:i/>
          <w:iCs/>
          <w:color w:val="0000FF"/>
          <w:sz w:val="20"/>
          <w:szCs w:val="20"/>
          <w:lang w:val="en-US"/>
        </w:rP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bookmarkStart w:id="1" w:name="_GoBack"/>
      <w:bookmarkEnd w:id="1"/>
      <w:proofErr w:type="spellEnd"/>
      <w:r w:rsidR="00EF3130" w:rsidRPr="005E211F">
        <w:rPr>
          <w:rFonts w:ascii="Titillium Web" w:hAnsi="Titillium Web"/>
          <w:i/>
          <w:iCs/>
          <w:color w:val="0000FF"/>
          <w:sz w:val="20"/>
          <w:szCs w:val="20"/>
          <w:lang w:val="en-US"/>
        </w:rPr>
        <w:t xml:space="preserve"> n</w:t>
      </w:r>
      <w:r w:rsidR="00757A4B">
        <w:rPr>
          <w:rFonts w:ascii="Titillium Web" w:hAnsi="Titillium Web"/>
          <w:i/>
          <w:iCs/>
          <w:color w:val="0000FF"/>
          <w:sz w:val="20"/>
          <w:szCs w:val="20"/>
          <w:lang w:val="en-US"/>
        </w:rPr>
        <w:t>. 203</w:t>
      </w:r>
      <w:r w:rsidR="00EF3130" w:rsidRPr="005E211F">
        <w:rPr>
          <w:rFonts w:ascii="Titillium Web" w:hAnsi="Titillium Web"/>
          <w:i/>
          <w:iCs/>
          <w:color w:val="0000FF"/>
          <w:sz w:val="20"/>
          <w:szCs w:val="20"/>
          <w:lang w:val="en-US"/>
        </w:rPr>
        <w:t>/2023</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lastRenderedPageBreak/>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that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as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as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2"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2"/>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3" w:name="_Hlk151475418"/>
      <w:r w:rsidRPr="005E211F">
        <w:rPr>
          <w:rFonts w:ascii="Titillium Web" w:eastAsia="Times New Roman" w:hAnsi="Titillium Web" w:cs="Times New Roman"/>
          <w:i/>
          <w:iCs/>
          <w:color w:val="0000FF"/>
          <w:sz w:val="20"/>
          <w:szCs w:val="20"/>
          <w:lang w:val="en-US" w:eastAsia="it-IT"/>
        </w:rPr>
        <w:t>foreign academic degree</w:t>
      </w:r>
      <w:bookmarkEnd w:id="3"/>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757A4B">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that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ヒラギノ角ゴ Pro W3">
    <w:altName w:val="Yu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143D68"/>
    <w:rsid w:val="00146826"/>
    <w:rsid w:val="001A0B3B"/>
    <w:rsid w:val="001B0800"/>
    <w:rsid w:val="001C4782"/>
    <w:rsid w:val="00211B6F"/>
    <w:rsid w:val="00216CF9"/>
    <w:rsid w:val="00230616"/>
    <w:rsid w:val="002664F9"/>
    <w:rsid w:val="00273791"/>
    <w:rsid w:val="0034473F"/>
    <w:rsid w:val="003504A6"/>
    <w:rsid w:val="00352EF1"/>
    <w:rsid w:val="00384C36"/>
    <w:rsid w:val="00391222"/>
    <w:rsid w:val="003A3F03"/>
    <w:rsid w:val="003B2CDF"/>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57A4B"/>
    <w:rsid w:val="00790C2B"/>
    <w:rsid w:val="007F4F53"/>
    <w:rsid w:val="00804DBB"/>
    <w:rsid w:val="00807B63"/>
    <w:rsid w:val="00840115"/>
    <w:rsid w:val="00887195"/>
    <w:rsid w:val="008A61AA"/>
    <w:rsid w:val="008B0188"/>
    <w:rsid w:val="008B3F8D"/>
    <w:rsid w:val="008E62EB"/>
    <w:rsid w:val="009972D6"/>
    <w:rsid w:val="009A773C"/>
    <w:rsid w:val="00A03624"/>
    <w:rsid w:val="00A23773"/>
    <w:rsid w:val="00A35026"/>
    <w:rsid w:val="00A36658"/>
    <w:rsid w:val="00A70E2B"/>
    <w:rsid w:val="00A76063"/>
    <w:rsid w:val="00AB3D0F"/>
    <w:rsid w:val="00AF19A7"/>
    <w:rsid w:val="00B4388E"/>
    <w:rsid w:val="00B50161"/>
    <w:rsid w:val="00B645DC"/>
    <w:rsid w:val="00B7067C"/>
    <w:rsid w:val="00B80BD4"/>
    <w:rsid w:val="00B83FFC"/>
    <w:rsid w:val="00BD16C0"/>
    <w:rsid w:val="00BE647A"/>
    <w:rsid w:val="00C441A3"/>
    <w:rsid w:val="00C50E90"/>
    <w:rsid w:val="00C812F8"/>
    <w:rsid w:val="00C952CF"/>
    <w:rsid w:val="00CB0110"/>
    <w:rsid w:val="00CC04E0"/>
    <w:rsid w:val="00CC47F6"/>
    <w:rsid w:val="00CD51A8"/>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1723</Words>
  <Characters>9823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Eleonora Ortu</cp:lastModifiedBy>
  <cp:revision>80</cp:revision>
  <dcterms:created xsi:type="dcterms:W3CDTF">2023-11-17T14:39:00Z</dcterms:created>
  <dcterms:modified xsi:type="dcterms:W3CDTF">2023-11-22T13:14:00Z</dcterms:modified>
</cp:coreProperties>
</file>