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42"/>
        </w:tabs>
        <w:spacing w:line="276" w:lineRule="auto"/>
        <w:ind w:right="424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Modello autocertificazione antimafia</w:t>
      </w:r>
    </w:p>
    <w:p w:rsidR="00000000" w:rsidDel="00000000" w:rsidP="00000000" w:rsidRDefault="00000000" w:rsidRPr="00000000" w14:paraId="00000002">
      <w:pPr>
        <w:spacing w:line="276" w:lineRule="auto"/>
        <w:jc w:val="right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Spett.le</w:t>
      </w:r>
    </w:p>
    <w:p w:rsidR="00000000" w:rsidDel="00000000" w:rsidP="00000000" w:rsidRDefault="00000000" w:rsidRPr="00000000" w14:paraId="00000003">
      <w:pPr>
        <w:spacing w:line="276" w:lineRule="auto"/>
        <w:jc w:val="right"/>
        <w:rPr>
          <w:rFonts w:ascii="Titillium" w:cs="Titillium" w:eastAsia="Titillium" w:hAnsi="Titillium"/>
          <w:sz w:val="21"/>
          <w:szCs w:val="21"/>
        </w:rPr>
      </w:pPr>
      <w:bookmarkStart w:colFirst="0" w:colLast="0" w:name="_heading=h.gjdgxs" w:id="0"/>
      <w:bookmarkEnd w:id="0"/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INAF – Direzione Generale</w:t>
      </w:r>
    </w:p>
    <w:p w:rsidR="00000000" w:rsidDel="00000000" w:rsidP="00000000" w:rsidRDefault="00000000" w:rsidRPr="00000000" w14:paraId="00000004">
      <w:pPr>
        <w:spacing w:line="276" w:lineRule="auto"/>
        <w:jc w:val="right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Viale del Parco Mellini 84, 00136, Roma</w:t>
      </w:r>
    </w:p>
    <w:p w:rsidR="00000000" w:rsidDel="00000000" w:rsidP="00000000" w:rsidRDefault="00000000" w:rsidRPr="00000000" w14:paraId="00000005">
      <w:pPr>
        <w:spacing w:after="12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Procedura aperta, con importo superiore alla soglia comunitaria, per l’appalto, di durata triennale, dei servizi integrati di guardiania, radio-controllo e videosorveglianza del Complesso Immobiliare sito a Roma, nel Viale del Parco Mellini, numero 84, Sede della "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Amministrazione Centrale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" dello "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Istituto Nazionale di Astrofisica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".</w:t>
      </w:r>
    </w:p>
    <w:p w:rsidR="00000000" w:rsidDel="00000000" w:rsidP="00000000" w:rsidRDefault="00000000" w:rsidRPr="00000000" w14:paraId="00000007">
      <w:pPr>
        <w:spacing w:after="120"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CIG: B2112C40A2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both"/>
        <w:rPr>
          <w:rFonts w:ascii="Titillium" w:cs="Titillium" w:eastAsia="Titillium" w:hAnsi="Titillium"/>
          <w:b w:val="1"/>
          <w:sz w:val="21"/>
          <w:szCs w:val="21"/>
        </w:rPr>
      </w:pPr>
      <w:bookmarkStart w:colFirst="0" w:colLast="0" w:name="_heading=h.16cyvdi9f1w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center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AUTOCERTIFICAZIONE RELATIVA ALLE INFORMAZIONI ANTIMAFIA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center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(ai sensi del D. lgs. 159/2011)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center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Dichiarazione sostitutiva di atto notorio (artt. 46 e 47 D.P.R. n. 445/2000)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bookmarkStart w:colFirst="0" w:colLast="0" w:name="_heading=h.30j0zll" w:id="2"/>
      <w:bookmarkEnd w:id="2"/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Il/La sottoscritto/a ________________________________ nato/a a _____________________ il _____________ Codice Fiscale _________________ residente in ______________ via ______ CAP ______ nella sua qualità di: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□</w:t>
      </w: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 Titolare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□</w:t>
      </w: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 legale rappresentante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□</w:t>
      </w: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 Procuratore speciale o generale con mandato di rappresentanza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  <w:tab w:val="left" w:leader="none" w:pos="1368"/>
          <w:tab w:val="center" w:leader="none" w:pos="4393"/>
        </w:tabs>
        <w:spacing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dell’operatore economico _______________________________________ con sede in ____________________________ via _____________________________ C.A.P. _________ Codice Fiscale _____________________________ Partita IVA ____________________</w:t>
        <w:tab/>
        <w:tab/>
        <w:tab/>
        <w:t xml:space="preserve"> </w:t>
      </w:r>
    </w:p>
    <w:p w:rsidR="00000000" w:rsidDel="00000000" w:rsidP="00000000" w:rsidRDefault="00000000" w:rsidRPr="00000000" w14:paraId="00000014">
      <w:pPr>
        <w:tabs>
          <w:tab w:val="left" w:leader="none" w:pos="142"/>
        </w:tabs>
        <w:spacing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ai sensi e per gli effetti degli artt. 46 e 47 del D.P.R. n. 445/2000, consapevole del fatto che, in caso di mendace dichiarazione saranno applicate nei suoi riguardi, ai sensi dell’art. 76 dello stesso decreto, le sanzioni previste dal Codice penale e dalle leggi speciali in materia di falsità negli atti e dichiarazioni mendaci, oltre alle conseguenze amministrative previste per le procedure concernenti gli appalti pubblici, </w:t>
      </w:r>
    </w:p>
    <w:p w:rsidR="00000000" w:rsidDel="00000000" w:rsidP="00000000" w:rsidRDefault="00000000" w:rsidRPr="00000000" w14:paraId="00000015">
      <w:pPr>
        <w:tabs>
          <w:tab w:val="left" w:leader="none" w:pos="142"/>
        </w:tabs>
        <w:spacing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center"/>
        <w:rPr>
          <w:rFonts w:ascii="Titillium" w:cs="Titillium" w:eastAsia="Titillium" w:hAnsi="Titillium"/>
          <w:b w:val="1"/>
          <w:color w:val="000000"/>
          <w:sz w:val="21"/>
          <w:szCs w:val="21"/>
        </w:rPr>
      </w:pPr>
      <w:bookmarkStart w:colFirst="0" w:colLast="0" w:name="_heading=h.3znysh7" w:id="3"/>
      <w:bookmarkEnd w:id="3"/>
      <w:r w:rsidDel="00000000" w:rsidR="00000000" w:rsidRPr="00000000">
        <w:rPr>
          <w:rFonts w:ascii="Titillium" w:cs="Titillium" w:eastAsia="Titillium" w:hAnsi="Titillium"/>
          <w:b w:val="1"/>
          <w:color w:val="000000"/>
          <w:sz w:val="21"/>
          <w:szCs w:val="21"/>
          <w:rtl w:val="0"/>
        </w:rPr>
        <w:t xml:space="preserve">DICHIARA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- che i soggetti da sottoporre a verifica antimafia </w:t>
      </w:r>
      <w:r w:rsidDel="00000000" w:rsidR="00000000" w:rsidRPr="00000000">
        <w:rPr>
          <w:rFonts w:ascii="Titillium" w:cs="Titillium" w:eastAsia="Titillium" w:hAnsi="Titillium"/>
          <w:i w:val="1"/>
          <w:color w:val="000000"/>
          <w:sz w:val="21"/>
          <w:szCs w:val="21"/>
          <w:rtl w:val="0"/>
        </w:rPr>
        <w:t xml:space="preserve">ex</w:t>
      </w: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 art. 85 D. lgs. 159/2011 sono elencati di seguito: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76" w:lineRule="auto"/>
        <w:jc w:val="both"/>
        <w:rPr>
          <w:rFonts w:ascii="Titillium" w:cs="Titillium" w:eastAsia="Titillium" w:hAnsi="Titillium"/>
          <w:i w:val="1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i w:val="1"/>
          <w:color w:val="000000"/>
          <w:sz w:val="21"/>
          <w:szCs w:val="21"/>
          <w:rtl w:val="0"/>
        </w:rPr>
        <w:t xml:space="preserve">(N.B. le istruzioni per l’identificazione dei soggetti tenuti alla presentazione della dichiarazione sostitutiva prevista dagli artt. 67 e 91, comma 4, del d. lgs. n. 159/2011 sono riportate nella tabella in calce al presente documento)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76" w:lineRule="auto"/>
        <w:jc w:val="both"/>
        <w:rPr>
          <w:rFonts w:ascii="Titillium" w:cs="Titillium" w:eastAsia="Titillium" w:hAnsi="Titillium"/>
          <w:i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8"/>
        <w:gridCol w:w="7512"/>
        <w:tblGridChange w:id="0">
          <w:tblGrid>
            <w:gridCol w:w="2978"/>
            <w:gridCol w:w="7512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SOGGETTO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  <w:rtl w:val="0"/>
              </w:rPr>
              <w:t xml:space="preserve">                                                 Inserire ragione sociale completa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Cognome Nome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Ruolo ricoperto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Data di nascita</w:t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Luogo di nascita</w:t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Luogo di residenza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Familiari conviventi maggiorenni</w:t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SI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1"/>
                <w:szCs w:val="21"/>
                <w:rtl w:val="0"/>
              </w:rPr>
              <w:t xml:space="preserve">☐</w:t>
            </w: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           NO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1"/>
                <w:szCs w:val="21"/>
                <w:rtl w:val="0"/>
              </w:rPr>
              <w:t xml:space="preserve">☐</w:t>
            </w: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     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  <w:rtl w:val="0"/>
              </w:rPr>
              <w:t xml:space="preserve">Elenco conviventi maggiorenni - riportare i dati seguenti </w:t>
            </w:r>
            <w:r w:rsidDel="00000000" w:rsidR="00000000" w:rsidRPr="00000000"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  <w:u w:val="single"/>
                <w:rtl w:val="0"/>
              </w:rPr>
              <w:t xml:space="preserve">per ciascuno</w:t>
            </w:r>
            <w:r w:rsidDel="00000000" w:rsidR="00000000" w:rsidRPr="00000000"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  <w:rtl w:val="0"/>
              </w:rPr>
              <w:t xml:space="preserve"> di essi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  <w:rtl w:val="0"/>
              </w:rPr>
              <w:t xml:space="preserve">Data di nascita</w:t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Luogo di nascita</w:t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color w:val="000000"/>
                <w:sz w:val="21"/>
                <w:szCs w:val="21"/>
                <w:rtl w:val="0"/>
              </w:rPr>
              <w:t xml:space="preserve">Luogo di residenza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76" w:lineRule="auto"/>
              <w:jc w:val="both"/>
              <w:rPr>
                <w:rFonts w:ascii="Titillium" w:cs="Titillium" w:eastAsia="Titillium" w:hAnsi="Titillium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76" w:lineRule="auto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i w:val="1"/>
          <w:color w:val="000000"/>
          <w:sz w:val="21"/>
          <w:szCs w:val="21"/>
          <w:u w:val="single"/>
        </w:rPr>
      </w:pPr>
      <w:r w:rsidDel="00000000" w:rsidR="00000000" w:rsidRPr="00000000">
        <w:rPr>
          <w:rFonts w:ascii="Titillium" w:cs="Titillium" w:eastAsia="Titillium" w:hAnsi="Titillium"/>
          <w:i w:val="1"/>
          <w:color w:val="000000"/>
          <w:sz w:val="21"/>
          <w:szCs w:val="21"/>
          <w:u w:val="single"/>
          <w:rtl w:val="0"/>
        </w:rPr>
        <w:t xml:space="preserve">[ripetere per ogni soggetto da sottoporre a verifica antimafia]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- per conto proprio e in nome e per conto dei soggetti individuati al precedente punto, conformemente alle disposizioni del Codice dei contratti pubblici, ai sensi della vigente normativa antimafia, l’insussistenza delle cause di decadenza, di sospensione o di divieto previste dall’art. 67 del D. Lgs. n. 159/2011 e s.m.i. o di un tentativo di infiltrazione mafiosa di cui all'art. 84, comma 4, del medesimo decreto;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color w:val="000000"/>
          <w:sz w:val="21"/>
          <w:szCs w:val="21"/>
          <w:rtl w:val="0"/>
        </w:rPr>
        <w:t xml:space="preserve">Luogo e Data</w:t>
        <w:tab/>
        <w:tab/>
        <w:tab/>
        <w:tab/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ind w:left="5040" w:firstLine="720"/>
        <w:jc w:val="both"/>
        <w:rPr>
          <w:rFonts w:ascii="Titillium" w:cs="Titillium" w:eastAsia="Titillium" w:hAnsi="Titillium"/>
          <w:i w:val="1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i w:val="1"/>
          <w:color w:val="000000"/>
          <w:sz w:val="21"/>
          <w:szCs w:val="21"/>
          <w:rtl w:val="0"/>
        </w:rPr>
        <w:t xml:space="preserve">Firma elettronica qualificata/firma digitale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b w:val="1"/>
          <w:i w:val="1"/>
          <w:color w:val="000000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i w:val="1"/>
          <w:color w:val="000000"/>
          <w:sz w:val="21"/>
          <w:szCs w:val="21"/>
          <w:rtl w:val="0"/>
        </w:rPr>
        <w:t xml:space="preserve">Segue - istruzioni per l’identificazione dei soggetti tenuti alla presentazione della dichiarazione sostitutiva prevista dagli artt. 67 e 91, comma 4, del d. lgs. n. 159/2011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center"/>
        <w:rPr>
          <w:rFonts w:ascii="Titillium" w:cs="Titillium" w:eastAsia="Titillium" w:hAnsi="Titillium"/>
          <w:b w:val="1"/>
          <w:sz w:val="21"/>
          <w:szCs w:val="21"/>
        </w:rPr>
      </w:pPr>
      <w:bookmarkStart w:colFirst="0" w:colLast="0" w:name="_heading=h.1fob9te" w:id="4"/>
      <w:bookmarkEnd w:id="4"/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ISTRUZIONI PER L’IDENTIFICAZIONE DEI SOGGETTI TENUTI ALLA PRESENTAZIONE DELLA DICHIARAZIONE SOSTITUTIVA PREVISTA DAGLI ARTT. 67 E 91, COMMA 4, DEL D. LGS. N. 159/2011</w:t>
      </w:r>
    </w:p>
    <w:tbl>
      <w:tblPr>
        <w:tblStyle w:val="Table2"/>
        <w:tblW w:w="10774.0" w:type="dxa"/>
        <w:jc w:val="left"/>
        <w:tblInd w:w="-5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3"/>
        <w:gridCol w:w="7371"/>
        <w:tblGridChange w:id="0">
          <w:tblGrid>
            <w:gridCol w:w="3403"/>
            <w:gridCol w:w="7371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1">
            <w:pPr>
              <w:spacing w:after="60" w:before="60" w:line="276" w:lineRule="auto"/>
              <w:jc w:val="center"/>
              <w:rPr>
                <w:rFonts w:ascii="Titillium" w:cs="Titillium" w:eastAsia="Titillium" w:hAnsi="Titillium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b w:val="1"/>
                <w:sz w:val="21"/>
                <w:szCs w:val="21"/>
                <w:rtl w:val="0"/>
              </w:rPr>
              <w:t xml:space="preserve">Art. 85 del D. lgs 159/2011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Impresa individuale</w:t>
            </w:r>
          </w:p>
          <w:p w:rsidR="00000000" w:rsidDel="00000000" w:rsidP="00000000" w:rsidRDefault="00000000" w:rsidRPr="00000000" w14:paraId="00000054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c.1)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Titolare dell’impresa </w:t>
            </w:r>
          </w:p>
          <w:p w:rsidR="00000000" w:rsidDel="00000000" w:rsidP="00000000" w:rsidRDefault="00000000" w:rsidRPr="00000000" w14:paraId="00000056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direttore tecnico (se previsto) </w:t>
            </w:r>
          </w:p>
          <w:p w:rsidR="00000000" w:rsidDel="00000000" w:rsidP="00000000" w:rsidRDefault="00000000" w:rsidRPr="00000000" w14:paraId="00000057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familiari conviventi dei soggetti di cui ai punti precedenti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Associazioni</w:t>
            </w:r>
          </w:p>
          <w:p w:rsidR="00000000" w:rsidDel="00000000" w:rsidP="00000000" w:rsidRDefault="00000000" w:rsidRPr="00000000" w14:paraId="00000059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c.2 lett. a)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Legali rappresentanti </w:t>
            </w:r>
          </w:p>
          <w:p w:rsidR="00000000" w:rsidDel="00000000" w:rsidP="00000000" w:rsidRDefault="00000000" w:rsidRPr="00000000" w14:paraId="0000005B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Collegio Sindacale (se previsto) </w:t>
            </w:r>
          </w:p>
          <w:p w:rsidR="00000000" w:rsidDel="00000000" w:rsidP="00000000" w:rsidRDefault="00000000" w:rsidRPr="00000000" w14:paraId="0000005C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direttore tecnico (se previsto) </w:t>
            </w:r>
          </w:p>
          <w:p w:rsidR="00000000" w:rsidDel="00000000" w:rsidP="00000000" w:rsidRDefault="00000000" w:rsidRPr="00000000" w14:paraId="0000005D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4. soggetti che svolgono i compiti di vigilanza di cui all’art. 6, comma 1, lettera b) del D. lgs. 231/2001 (nei casi contemplati dall’ art. 2477 del Codice civile) </w:t>
            </w:r>
          </w:p>
          <w:p w:rsidR="00000000" w:rsidDel="00000000" w:rsidP="00000000" w:rsidRDefault="00000000" w:rsidRPr="00000000" w14:paraId="0000005E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5. familiari conviventi dei soggetti di cui ai punti precedenti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Società di capitali anche consortili, società cooperative, </w:t>
            </w:r>
          </w:p>
          <w:p w:rsidR="00000000" w:rsidDel="00000000" w:rsidP="00000000" w:rsidRDefault="00000000" w:rsidRPr="00000000" w14:paraId="00000060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consorzi cooperativi, </w:t>
            </w:r>
          </w:p>
          <w:p w:rsidR="00000000" w:rsidDel="00000000" w:rsidP="00000000" w:rsidRDefault="00000000" w:rsidRPr="00000000" w14:paraId="00000061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consorzi con attività esterna </w:t>
            </w:r>
          </w:p>
          <w:p w:rsidR="00000000" w:rsidDel="00000000" w:rsidP="00000000" w:rsidRDefault="00000000" w:rsidRPr="00000000" w14:paraId="00000062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c.2 lett. b)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Legali rappresentanti </w:t>
            </w:r>
          </w:p>
          <w:p w:rsidR="00000000" w:rsidDel="00000000" w:rsidP="00000000" w:rsidRDefault="00000000" w:rsidRPr="00000000" w14:paraId="00000064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Amministratori (presidente del C.d.A./Amministratore Delegato, consiglieri) </w:t>
            </w:r>
          </w:p>
          <w:p w:rsidR="00000000" w:rsidDel="00000000" w:rsidP="00000000" w:rsidRDefault="00000000" w:rsidRPr="00000000" w14:paraId="00000065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Collegio Sindacale (se previsto)</w:t>
            </w:r>
          </w:p>
          <w:p w:rsidR="00000000" w:rsidDel="00000000" w:rsidP="00000000" w:rsidRDefault="00000000" w:rsidRPr="00000000" w14:paraId="00000066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4. direttore tecnico (se previsto) </w:t>
            </w:r>
          </w:p>
          <w:p w:rsidR="00000000" w:rsidDel="00000000" w:rsidP="00000000" w:rsidRDefault="00000000" w:rsidRPr="00000000" w14:paraId="00000067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5. soggetti che svolgono i compiti di vigilanza di cui all’art. 6, comma 1, lettera b) del D. lgs. 231/2001 (nei casi contemplati dall’ art. 2477 del Codice civile)</w:t>
            </w:r>
          </w:p>
          <w:p w:rsidR="00000000" w:rsidDel="00000000" w:rsidP="00000000" w:rsidRDefault="00000000" w:rsidRPr="00000000" w14:paraId="00000068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6.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percento, ed ai soci o consorziati per conto dei quali le società consortili o i consorzi operino in modo esclusivo nei confronti della pubblica amministrazione;</w:t>
            </w:r>
          </w:p>
          <w:p w:rsidR="00000000" w:rsidDel="00000000" w:rsidP="00000000" w:rsidRDefault="00000000" w:rsidRPr="00000000" w14:paraId="00000069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7. familiari conviventi dei soggetti di cui ai punti precedenti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Società di capitali: </w:t>
            </w:r>
          </w:p>
          <w:p w:rsidR="00000000" w:rsidDel="00000000" w:rsidP="00000000" w:rsidRDefault="00000000" w:rsidRPr="00000000" w14:paraId="0000006B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società per azioni (S.p.A.) </w:t>
            </w:r>
          </w:p>
          <w:p w:rsidR="00000000" w:rsidDel="00000000" w:rsidP="00000000" w:rsidRDefault="00000000" w:rsidRPr="00000000" w14:paraId="0000006C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società a responsabilità limitata (S.r.l.) </w:t>
            </w:r>
          </w:p>
          <w:p w:rsidR="00000000" w:rsidDel="00000000" w:rsidP="00000000" w:rsidRDefault="00000000" w:rsidRPr="00000000" w14:paraId="0000006D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società in accomandita per azioni (s.a.p.a.) </w:t>
            </w:r>
          </w:p>
          <w:p w:rsidR="00000000" w:rsidDel="00000000" w:rsidP="00000000" w:rsidRDefault="00000000" w:rsidRPr="00000000" w14:paraId="0000006E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c.2 lett. c)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Legali rappresentanti </w:t>
            </w:r>
          </w:p>
          <w:p w:rsidR="00000000" w:rsidDel="00000000" w:rsidP="00000000" w:rsidRDefault="00000000" w:rsidRPr="00000000" w14:paraId="00000070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Amministratori (presidente del C.d.A./Amministratore Delegato, consiglieri)</w:t>
            </w:r>
          </w:p>
          <w:p w:rsidR="00000000" w:rsidDel="00000000" w:rsidP="00000000" w:rsidRDefault="00000000" w:rsidRPr="00000000" w14:paraId="00000071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Collegio Sindacale (se previsto) </w:t>
            </w:r>
          </w:p>
          <w:p w:rsidR="00000000" w:rsidDel="00000000" w:rsidP="00000000" w:rsidRDefault="00000000" w:rsidRPr="00000000" w14:paraId="00000072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4. direttore tecnico (se previsto) </w:t>
            </w:r>
          </w:p>
          <w:p w:rsidR="00000000" w:rsidDel="00000000" w:rsidP="00000000" w:rsidRDefault="00000000" w:rsidRPr="00000000" w14:paraId="00000073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5. socio di maggioranza (nelle società con un nr. di soci pari o inferiore a 4) </w:t>
            </w:r>
          </w:p>
          <w:p w:rsidR="00000000" w:rsidDel="00000000" w:rsidP="00000000" w:rsidRDefault="00000000" w:rsidRPr="00000000" w14:paraId="00000074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6. socio in caso di società unipersonale</w:t>
            </w:r>
          </w:p>
          <w:p w:rsidR="00000000" w:rsidDel="00000000" w:rsidP="00000000" w:rsidRDefault="00000000" w:rsidRPr="00000000" w14:paraId="00000075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7. soggetti che svolgono i compiti di vigilanza di cui all’art. 6, comma 1, lettera b) del D. lgs. 231/2001 (nei casi contemplati dall’ art. 2477 del Codice civile) </w:t>
            </w:r>
          </w:p>
          <w:p w:rsidR="00000000" w:rsidDel="00000000" w:rsidP="00000000" w:rsidRDefault="00000000" w:rsidRPr="00000000" w14:paraId="00000076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8. familiari conviventi dei soggetti di cui ai punti precedenti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Consorzi </w:t>
            </w:r>
            <w:r w:rsidDel="00000000" w:rsidR="00000000" w:rsidRPr="00000000">
              <w:rPr>
                <w:rFonts w:ascii="Titillium" w:cs="Titillium" w:eastAsia="Titillium" w:hAnsi="Titillium"/>
                <w:i w:val="1"/>
                <w:sz w:val="21"/>
                <w:szCs w:val="21"/>
                <w:rtl w:val="0"/>
              </w:rPr>
              <w:t xml:space="preserve">ex</w:t>
            </w: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 art. 2602 c.c. non aventi attività esterna e per i gruppi europei di interesse economico </w:t>
            </w:r>
          </w:p>
          <w:p w:rsidR="00000000" w:rsidDel="00000000" w:rsidP="00000000" w:rsidRDefault="00000000" w:rsidRPr="00000000" w14:paraId="00000078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c.2 lett. d)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legale rappresentante </w:t>
            </w:r>
          </w:p>
          <w:p w:rsidR="00000000" w:rsidDel="00000000" w:rsidP="00000000" w:rsidRDefault="00000000" w:rsidRPr="00000000" w14:paraId="0000007A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eventuali componenti dell’organo di amministrazione </w:t>
            </w:r>
          </w:p>
          <w:p w:rsidR="00000000" w:rsidDel="00000000" w:rsidP="00000000" w:rsidRDefault="00000000" w:rsidRPr="00000000" w14:paraId="0000007B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Collegio Sindacale (se previsto) </w:t>
            </w:r>
          </w:p>
          <w:p w:rsidR="00000000" w:rsidDel="00000000" w:rsidP="00000000" w:rsidRDefault="00000000" w:rsidRPr="00000000" w14:paraId="0000007C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4. direttore tecnico (se previsto) </w:t>
            </w:r>
          </w:p>
          <w:p w:rsidR="00000000" w:rsidDel="00000000" w:rsidP="00000000" w:rsidRDefault="00000000" w:rsidRPr="00000000" w14:paraId="0000007D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5. soggetti che svolgono i compiti di vigilanza di cui all’art. 6, comma 1, lettera b) del D. lgs. 231/2001 (nei casi contemplati dall’ art. 2477 del Codice civile) </w:t>
            </w:r>
          </w:p>
          <w:p w:rsidR="00000000" w:rsidDel="00000000" w:rsidP="00000000" w:rsidRDefault="00000000" w:rsidRPr="00000000" w14:paraId="0000007E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6. imprenditori e società consorziate (e relativi legali rappresentanti ed eventuali componenti dell’organo di amministrazione) </w:t>
            </w:r>
          </w:p>
          <w:p w:rsidR="00000000" w:rsidDel="00000000" w:rsidP="00000000" w:rsidRDefault="00000000" w:rsidRPr="00000000" w14:paraId="0000007F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7. familiari conviventi dei soggetti di cui ai punti precedenti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Società semplice e in nome collettivo</w:t>
            </w:r>
          </w:p>
          <w:p w:rsidR="00000000" w:rsidDel="00000000" w:rsidP="00000000" w:rsidRDefault="00000000" w:rsidRPr="00000000" w14:paraId="00000081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c.2 lett. e)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tutti i soci </w:t>
            </w:r>
          </w:p>
          <w:p w:rsidR="00000000" w:rsidDel="00000000" w:rsidP="00000000" w:rsidRDefault="00000000" w:rsidRPr="00000000" w14:paraId="00000083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direttore tecnico (se previsto) </w:t>
            </w:r>
          </w:p>
          <w:p w:rsidR="00000000" w:rsidDel="00000000" w:rsidP="00000000" w:rsidRDefault="00000000" w:rsidRPr="00000000" w14:paraId="00000084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soggetti che svolgono i compiti di vigilanza di cui all’art. 6, comma 1, lettera b) del D. lgs. 231/2001 (nei casi contemplati dall’ art. 2477 del Codice civile)</w:t>
            </w:r>
          </w:p>
          <w:p w:rsidR="00000000" w:rsidDel="00000000" w:rsidP="00000000" w:rsidRDefault="00000000" w:rsidRPr="00000000" w14:paraId="00000085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4. familiari conviventi dei soggetti di cui ai precedenti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Società in accomandita semplice</w:t>
            </w:r>
          </w:p>
          <w:p w:rsidR="00000000" w:rsidDel="00000000" w:rsidP="00000000" w:rsidRDefault="00000000" w:rsidRPr="00000000" w14:paraId="00000087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c.2 lett. f)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soci accomandatari </w:t>
            </w:r>
          </w:p>
          <w:p w:rsidR="00000000" w:rsidDel="00000000" w:rsidP="00000000" w:rsidRDefault="00000000" w:rsidRPr="00000000" w14:paraId="00000089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direttore tecnico (se previsto) </w:t>
            </w:r>
          </w:p>
          <w:p w:rsidR="00000000" w:rsidDel="00000000" w:rsidP="00000000" w:rsidRDefault="00000000" w:rsidRPr="00000000" w14:paraId="0000008A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soggetti che svolgono i compiti di vigilanza di cui all’art. 6, comma 1, lettera b) del D. lgs. 231/2001 (nei casi contemplati dall’ art. 2477 del Codice civile)4. </w:t>
            </w:r>
          </w:p>
          <w:p w:rsidR="00000000" w:rsidDel="00000000" w:rsidP="00000000" w:rsidRDefault="00000000" w:rsidRPr="00000000" w14:paraId="0000008B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4. familiari conviventi dei soggetti di cui ai punti precedenti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Società estere con sede secondaria in Italia</w:t>
            </w:r>
          </w:p>
          <w:p w:rsidR="00000000" w:rsidDel="00000000" w:rsidP="00000000" w:rsidRDefault="00000000" w:rsidRPr="00000000" w14:paraId="0000008D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c.2 lett. g)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coloro che le rappresentano stabilmente in Italia </w:t>
            </w:r>
          </w:p>
          <w:p w:rsidR="00000000" w:rsidDel="00000000" w:rsidP="00000000" w:rsidRDefault="00000000" w:rsidRPr="00000000" w14:paraId="0000008F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direttore tecnico (se previsto) </w:t>
            </w:r>
          </w:p>
          <w:p w:rsidR="00000000" w:rsidDel="00000000" w:rsidP="00000000" w:rsidRDefault="00000000" w:rsidRPr="00000000" w14:paraId="00000090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sindaco e soggetti che svolgono i compiti di vigilanza di cui all’art. 6, comma 1, lettera b) del D. lgs. 231/2001 (nei casi contemplati dall’ art. 2477 del Codice civile)</w:t>
            </w:r>
          </w:p>
          <w:p w:rsidR="00000000" w:rsidDel="00000000" w:rsidP="00000000" w:rsidRDefault="00000000" w:rsidRPr="00000000" w14:paraId="00000091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4. familiari conviventi dei soggetti di cui ai punti precedenti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Raggruppamenti temporanei di imprese</w:t>
            </w:r>
          </w:p>
          <w:p w:rsidR="00000000" w:rsidDel="00000000" w:rsidP="00000000" w:rsidRDefault="00000000" w:rsidRPr="00000000" w14:paraId="00000093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c.2 lett. h)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tutte le imprese costituenti il Raggruppamento anche se aventi sede all’ estero, nonché le persone fisiche presenti al loro interno, come individuate per ciascuna tipologia di imprese e società </w:t>
            </w:r>
          </w:p>
          <w:p w:rsidR="00000000" w:rsidDel="00000000" w:rsidP="00000000" w:rsidRDefault="00000000" w:rsidRPr="00000000" w14:paraId="00000095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direttore tecnico (se previsto) </w:t>
            </w:r>
          </w:p>
          <w:p w:rsidR="00000000" w:rsidDel="00000000" w:rsidP="00000000" w:rsidRDefault="00000000" w:rsidRPr="00000000" w14:paraId="00000096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sindaco e soggetti che svolgono i compiti di vigilanza di cui all’art. 6, comma 1, lettera b) del D. lgs. 231/2001 (nei casi contemplati dall’ art. 2477 del Codice civile) </w:t>
            </w:r>
          </w:p>
          <w:p w:rsidR="00000000" w:rsidDel="00000000" w:rsidP="00000000" w:rsidRDefault="00000000" w:rsidRPr="00000000" w14:paraId="00000097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4. familiari conviventi dei soggetti di cui ai punti precedenti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Società personali (oltre a quanto espressamente previsto per le società in nome collettivo e accomandita semplice) </w:t>
            </w:r>
          </w:p>
          <w:p w:rsidR="00000000" w:rsidDel="00000000" w:rsidP="00000000" w:rsidRDefault="00000000" w:rsidRPr="00000000" w14:paraId="00000099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c.2 lett. i)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Soci persone fisiche delle società personali o di capitali che sono socie della società personale esaminata </w:t>
            </w:r>
          </w:p>
          <w:p w:rsidR="00000000" w:rsidDel="00000000" w:rsidP="00000000" w:rsidRDefault="00000000" w:rsidRPr="00000000" w14:paraId="0000009B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Direttore tecnico (se previsto)</w:t>
            </w:r>
          </w:p>
          <w:p w:rsidR="00000000" w:rsidDel="00000000" w:rsidP="00000000" w:rsidRDefault="00000000" w:rsidRPr="00000000" w14:paraId="0000009C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sindaco e soggetti che svolgono i compiti di vigilanza di cui all’art. 6, comma 1, lettera b) del D. lgs. 231/2001 (nei casi contemplati dall’ art. 2477 del Codice civile) </w:t>
            </w:r>
          </w:p>
          <w:p w:rsidR="00000000" w:rsidDel="00000000" w:rsidP="00000000" w:rsidRDefault="00000000" w:rsidRPr="00000000" w14:paraId="0000009D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4. familiari conviventi dei soggetti di cui ai punti precedenti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Società estere prive di sede secondaria con rappresentanza stabile in Italia </w:t>
            </w:r>
          </w:p>
          <w:p w:rsidR="00000000" w:rsidDel="00000000" w:rsidP="00000000" w:rsidRDefault="00000000" w:rsidRPr="00000000" w14:paraId="0000009F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(art. 85 c.2 ter)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1. Coloro che esercitano poteri di amministrazione, rappresentanza o direzione dell’impresa </w:t>
            </w:r>
          </w:p>
          <w:p w:rsidR="00000000" w:rsidDel="00000000" w:rsidP="00000000" w:rsidRDefault="00000000" w:rsidRPr="00000000" w14:paraId="000000A1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2. sindaco e soggetti che svolgono i compiti di vigilanza di cui all’art. 6, comma 1, lettera b) del D. lgs. 231/2001 (nei casi contemplati dall’ art. 2477 del Codice civile) </w:t>
            </w:r>
          </w:p>
          <w:p w:rsidR="00000000" w:rsidDel="00000000" w:rsidP="00000000" w:rsidRDefault="00000000" w:rsidRPr="00000000" w14:paraId="000000A2">
            <w:pPr>
              <w:spacing w:after="60" w:before="60" w:line="276" w:lineRule="auto"/>
              <w:jc w:val="both"/>
              <w:rPr>
                <w:rFonts w:ascii="Titillium" w:cs="Titillium" w:eastAsia="Titillium" w:hAnsi="Titillium"/>
                <w:sz w:val="21"/>
                <w:szCs w:val="21"/>
              </w:rPr>
            </w:pPr>
            <w:r w:rsidDel="00000000" w:rsidR="00000000" w:rsidRPr="00000000">
              <w:rPr>
                <w:rFonts w:ascii="Titillium" w:cs="Titillium" w:eastAsia="Titillium" w:hAnsi="Titillium"/>
                <w:sz w:val="21"/>
                <w:szCs w:val="21"/>
                <w:rtl w:val="0"/>
              </w:rPr>
              <w:t xml:space="preserve">3. familiari conviventi dei soggetti di cui ai punti precedenti</w:t>
            </w:r>
          </w:p>
        </w:tc>
      </w:tr>
    </w:tbl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Concetto di “</w:t>
      </w:r>
      <w:r w:rsidDel="00000000" w:rsidR="00000000" w:rsidRPr="00000000">
        <w:rPr>
          <w:rFonts w:ascii="Titillium" w:cs="Titillium" w:eastAsia="Titillium" w:hAnsi="Titillium"/>
          <w:b w:val="1"/>
          <w:i w:val="1"/>
          <w:sz w:val="21"/>
          <w:szCs w:val="21"/>
          <w:rtl w:val="0"/>
        </w:rPr>
        <w:t xml:space="preserve">familiari conviventi</w:t>
      </w: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” 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Per quanto concerne la nozione di “familiari conviventi”, si precisa che per essi si intende “</w:t>
      </w:r>
      <w:r w:rsidDel="00000000" w:rsidR="00000000" w:rsidRPr="00000000">
        <w:rPr>
          <w:rFonts w:ascii="Titillium" w:cs="Titillium" w:eastAsia="Titillium" w:hAnsi="Titillium"/>
          <w:b w:val="1"/>
          <w:i w:val="1"/>
          <w:sz w:val="21"/>
          <w:szCs w:val="21"/>
          <w:rtl w:val="0"/>
        </w:rPr>
        <w:t xml:space="preserve">chiunque conviva</w:t>
      </w: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” con i soggetti da controllare ex art. 85 del D. lgs. 159/2011, </w:t>
      </w: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purché maggiorenne</w:t>
      </w: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. 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b w:val="1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Con</w:t>
      </w: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Circolare n. 11001/119/20(8) dell’11/07/2013 il Ministero dell’Interno ha precisato che per le società costituite all’ estero, prive di una sede secondaria con rappresentanza stabile in Italia sono esclusi i controlli sui familiari conviventi dei soggetti che esercitano poteri di amministrazione, di rappresentanza o di direzione dell’impresa.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Concetto di “</w:t>
      </w:r>
      <w:r w:rsidDel="00000000" w:rsidR="00000000" w:rsidRPr="00000000">
        <w:rPr>
          <w:rFonts w:ascii="Titillium" w:cs="Titillium" w:eastAsia="Titillium" w:hAnsi="Titillium"/>
          <w:b w:val="1"/>
          <w:i w:val="1"/>
          <w:sz w:val="21"/>
          <w:szCs w:val="21"/>
          <w:rtl w:val="0"/>
        </w:rPr>
        <w:t xml:space="preserve">socio di maggioranza</w:t>
      </w:r>
      <w:r w:rsidDel="00000000" w:rsidR="00000000" w:rsidRPr="00000000">
        <w:rPr>
          <w:rFonts w:ascii="Titillium" w:cs="Titillium" w:eastAsia="Titillium" w:hAnsi="Titillium"/>
          <w:b w:val="1"/>
          <w:sz w:val="21"/>
          <w:szCs w:val="21"/>
          <w:rtl w:val="0"/>
        </w:rPr>
        <w:t xml:space="preserve">”</w:t>
      </w: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60" w:line="276" w:lineRule="auto"/>
        <w:jc w:val="both"/>
        <w:rPr>
          <w:rFonts w:ascii="Titillium" w:cs="Titillium" w:eastAsia="Titillium" w:hAnsi="Titillium"/>
          <w:sz w:val="21"/>
          <w:szCs w:val="21"/>
        </w:rPr>
      </w:pP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Per socio di maggioranza si intende “</w:t>
      </w:r>
      <w:r w:rsidDel="00000000" w:rsidR="00000000" w:rsidRPr="00000000">
        <w:rPr>
          <w:rFonts w:ascii="Titillium" w:cs="Titillium" w:eastAsia="Titillium" w:hAnsi="Titillium"/>
          <w:i w:val="1"/>
          <w:sz w:val="21"/>
          <w:szCs w:val="21"/>
          <w:rtl w:val="0"/>
        </w:rPr>
        <w:t xml:space="preserve">la persona fisica o giuridica che detiene la maggioranza relativa delle quote o azioni della società interessata</w:t>
      </w:r>
      <w:r w:rsidDel="00000000" w:rsidR="00000000" w:rsidRPr="00000000">
        <w:rPr>
          <w:rFonts w:ascii="Titillium" w:cs="Titillium" w:eastAsia="Titillium" w:hAnsi="Titillium"/>
          <w:sz w:val="21"/>
          <w:szCs w:val="21"/>
          <w:rtl w:val="0"/>
        </w:rPr>
        <w:t xml:space="preserve">”. Nel caso di più soci (es. 3 o 4) con la medesima percentuale di quote o azioni del capitale sociale della società interessata, non è richiesta alcuna documentazione relativa al socio di maggioranza. La documentazione dovrà, invece essere prodotta nel caso in cui i soci (persone fisiche o giuridiche) della società interessata al rilascio della comunicazione o informazione antimafia siano ciascuno titolari di quote o azioni pari al 50% del capitale sociale. Ciò in coerenza con l’art. 91, comma 5 del D. lgs. 159/2011 e la sentenza n. 4654 del 28/08/2012 del Consiglio di Stato Sez. V.</w:t>
      </w:r>
    </w:p>
    <w:sectPr>
      <w:headerReference r:id="rId7" w:type="default"/>
      <w:footerReference r:id="rId8" w:type="default"/>
      <w:pgSz w:h="16840" w:w="11900" w:orient="portrait"/>
      <w:pgMar w:bottom="1134" w:top="2098" w:left="1134" w:right="703" w:header="23" w:footer="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MS Gothic"/>
  <w:font w:name="Titill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-1134" w:firstLine="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-1134" w:right="-1134" w:firstLine="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-1134" w:right="-1134" w:firstLine="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0151A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 w:val="1"/>
    <w:rsid w:val="000151A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Bullet edison,Paragrafo elenco 2"/>
    <w:basedOn w:val="Normale"/>
    <w:link w:val="ParagrafoelencoCarattere"/>
    <w:uiPriority w:val="99"/>
    <w:qFormat w:val="1"/>
    <w:rsid w:val="000151A3"/>
    <w:pPr>
      <w:ind w:left="720"/>
      <w:contextualSpacing w:val="1"/>
    </w:pPr>
  </w:style>
  <w:style w:type="character" w:styleId="ParagrafoelencoCarattere" w:customStyle="1">
    <w:name w:val="Paragrafo elenco Carattere"/>
    <w:aliases w:val="Bullet edison Carattere,Paragrafo elenco 2 Carattere"/>
    <w:basedOn w:val="Carpredefinitoparagrafo"/>
    <w:link w:val="Paragrafoelenco"/>
    <w:uiPriority w:val="99"/>
    <w:qFormat w:val="1"/>
    <w:rsid w:val="00297CB2"/>
  </w:style>
  <w:style w:type="paragraph" w:styleId="Revisione">
    <w:name w:val="Revision"/>
    <w:hidden w:val="1"/>
    <w:uiPriority w:val="99"/>
    <w:semiHidden w:val="1"/>
    <w:rsid w:val="00761EC3"/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346B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346B95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346B9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346B95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346B95"/>
    <w:rPr>
      <w:b w:val="1"/>
      <w:bCs w:val="1"/>
      <w:sz w:val="20"/>
      <w:szCs w:val="20"/>
    </w:rPr>
  </w:style>
  <w:style w:type="character" w:styleId="Collegamentoipertestuale">
    <w:name w:val="Hyperlink"/>
    <w:rsid w:val="004B02D6"/>
    <w:rPr>
      <w:color w:val="0000ff"/>
      <w:u w:val="single"/>
    </w:rPr>
  </w:style>
  <w:style w:type="paragraph" w:styleId="sche3" w:customStyle="1">
    <w:name w:val="sche_3"/>
    <w:rsid w:val="004B02D6"/>
    <w:pPr>
      <w:widowControl w:val="0"/>
      <w:suppressAutoHyphens w:val="1"/>
      <w:jc w:val="both"/>
    </w:pPr>
    <w:rPr>
      <w:rFonts w:ascii="Times New Roman" w:cs="Times New Roman" w:eastAsia="Times New Roman" w:hAnsi="Times New Roman"/>
      <w:sz w:val="20"/>
      <w:szCs w:val="20"/>
      <w:lang w:eastAsia="zh-CN" w:val="en-US"/>
    </w:rPr>
  </w:style>
  <w:style w:type="paragraph" w:styleId="Corpodeltesto31" w:customStyle="1">
    <w:name w:val="Corpo del testo 31"/>
    <w:basedOn w:val="Normale"/>
    <w:rsid w:val="004B02D6"/>
    <w:pPr>
      <w:suppressAutoHyphens w:val="1"/>
      <w:spacing w:after="120"/>
    </w:pPr>
    <w:rPr>
      <w:rFonts w:ascii="Times New Roman" w:cs="Times New Roman" w:eastAsia="Times New Roman" w:hAnsi="Times New Roman"/>
      <w:sz w:val="16"/>
      <w:szCs w:val="16"/>
      <w:lang w:eastAsia="zh-CN" w:val="x-none"/>
    </w:rPr>
  </w:style>
  <w:style w:type="paragraph" w:styleId="Testonormale1" w:customStyle="1">
    <w:name w:val="Testo normale1"/>
    <w:basedOn w:val="Normale"/>
    <w:rsid w:val="004B02D6"/>
    <w:pPr>
      <w:suppressAutoHyphens w:val="1"/>
      <w:jc w:val="both"/>
    </w:pPr>
    <w:rPr>
      <w:rFonts w:ascii="Courier New" w:cs="Courier New" w:eastAsia="Times New Roman" w:hAnsi="Courier New"/>
      <w:sz w:val="20"/>
      <w:szCs w:val="20"/>
      <w:lang w:eastAsia="zh-CN" w:val="x-none"/>
    </w:rPr>
  </w:style>
  <w:style w:type="paragraph" w:styleId="Paragrafoelenco1" w:customStyle="1">
    <w:name w:val="Paragrafo elenco1"/>
    <w:basedOn w:val="Normale"/>
    <w:uiPriority w:val="99"/>
    <w:qFormat w:val="1"/>
    <w:rsid w:val="004B02D6"/>
    <w:pPr>
      <w:ind w:left="708"/>
    </w:pPr>
    <w:rPr>
      <w:rFonts w:ascii="Times New Roman" w:cs="Times New Roman" w:eastAsia="Times New Roman" w:hAnsi="Times New Roman"/>
      <w:color w:val="00000a"/>
      <w:kern w:val="1"/>
    </w:rPr>
  </w:style>
  <w:style w:type="paragraph" w:styleId="Corpodeltesto21" w:customStyle="1">
    <w:name w:val="Corpo del testo 21"/>
    <w:basedOn w:val="Normale"/>
    <w:rsid w:val="00FA3EAA"/>
    <w:pPr>
      <w:widowControl w:val="0"/>
      <w:suppressAutoHyphens w:val="1"/>
      <w:jc w:val="both"/>
    </w:pPr>
    <w:rPr>
      <w:rFonts w:ascii="Times New Roman" w:cs="Times New Roman" w:eastAsia="Times New Roman" w:hAnsi="Times New Roman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8B1BC0"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8B1BC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8B1BC0"/>
    <w:rPr>
      <w:vertAlign w:val="superscript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UnresolvedMention" w:customStyle="1">
    <w:name w:val="Unresolved Mention"/>
    <w:basedOn w:val="Carpredefinitoparagrafo"/>
    <w:uiPriority w:val="99"/>
    <w:semiHidden w:val="1"/>
    <w:unhideWhenUsed w:val="1"/>
    <w:rsid w:val="0093361E"/>
    <w:rPr>
      <w:color w:val="605e5c"/>
      <w:shd w:color="auto" w:fill="e1dfdd" w:val="clear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7631A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4B383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676911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67691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BSvQAiNojMJEumfYKb1sblTppQ==">CgMxLjAyCGguZ2pkZ3hzMg5oLjE2Y3l2ZGk5ZjF3ZzIJaC4zMGowemxsMgloLjN6bnlzaDcyCWguMWZvYjl0ZTgAciExMjRsZzhpcnV3UjFyY3VXTkRYTEVSTzRNREcxUWFqakU=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2024-05-14T22:05:00Z</dcterms:created>
  <dc:creator>Utente di Microsoft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0x010100777A26F539967D4F98503910BA4FFFD8</vt:lpwstr>
  </property>
  <property fmtid="{D5CDD505-2E9C-101B-9397-08002B2CF9AE}" pid="3" name="MediaServiceImageTags">
    <vt:lpwstr/>
  </property>
</Properties>
</file>