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Modello di Dichiarazioni integrative</w:t>
      </w:r>
    </w:p>
    <w:p w:rsidR="00000000" w:rsidDel="00000000" w:rsidP="00000000" w:rsidRDefault="00000000" w:rsidRPr="00000000" w14:paraId="00000002">
      <w:pPr>
        <w:spacing w:line="276"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Spett.le</w:t>
      </w:r>
    </w:p>
    <w:p w:rsidR="00000000" w:rsidDel="00000000" w:rsidP="00000000" w:rsidRDefault="00000000" w:rsidRPr="00000000" w14:paraId="00000003">
      <w:pPr>
        <w:spacing w:line="276" w:lineRule="auto"/>
        <w:jc w:val="right"/>
        <w:rPr>
          <w:rFonts w:ascii="Titillium" w:cs="Titillium" w:eastAsia="Titillium" w:hAnsi="Titillium"/>
          <w:sz w:val="21"/>
          <w:szCs w:val="21"/>
        </w:rPr>
      </w:pPr>
      <w:bookmarkStart w:colFirst="0" w:colLast="0" w:name="_heading=h.gjdgxs" w:id="0"/>
      <w:bookmarkEnd w:id="0"/>
      <w:r w:rsidDel="00000000" w:rsidR="00000000" w:rsidRPr="00000000">
        <w:rPr>
          <w:rFonts w:ascii="Titillium" w:cs="Titillium" w:eastAsia="Titillium" w:hAnsi="Titillium"/>
          <w:sz w:val="21"/>
          <w:szCs w:val="21"/>
          <w:rtl w:val="0"/>
        </w:rPr>
        <w:t xml:space="preserve">INAF – Direzione Generale</w:t>
      </w:r>
    </w:p>
    <w:p w:rsidR="00000000" w:rsidDel="00000000" w:rsidP="00000000" w:rsidRDefault="00000000" w:rsidRPr="00000000" w14:paraId="00000004">
      <w:pPr>
        <w:spacing w:line="276"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Viale del Parco Mellini 84, 00136, Roma</w:t>
      </w:r>
    </w:p>
    <w:p w:rsidR="00000000" w:rsidDel="00000000" w:rsidP="00000000" w:rsidRDefault="00000000" w:rsidRPr="00000000" w14:paraId="00000005">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6">
      <w:pPr>
        <w:tabs>
          <w:tab w:val="left" w:leader="none" w:pos="2880"/>
        </w:tabs>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Procedura aperta, con importo superiore alla soglia comunitaria, per l’appalto, di durata triennale,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sz w:val="22"/>
          <w:szCs w:val="22"/>
          <w:rtl w:val="0"/>
        </w:rPr>
        <w:t xml:space="preserve">Amministrazione Centrale</w:t>
      </w:r>
      <w:r w:rsidDel="00000000" w:rsidR="00000000" w:rsidRPr="00000000">
        <w:rPr>
          <w:rFonts w:ascii="Arial" w:cs="Arial" w:eastAsia="Arial" w:hAnsi="Arial"/>
          <w:b w:val="1"/>
          <w:sz w:val="22"/>
          <w:szCs w:val="22"/>
          <w:rtl w:val="0"/>
        </w:rPr>
        <w:t xml:space="preserve">" dello "</w:t>
      </w:r>
      <w:r w:rsidDel="00000000" w:rsidR="00000000" w:rsidRPr="00000000">
        <w:rPr>
          <w:rFonts w:ascii="Arial" w:cs="Arial" w:eastAsia="Arial" w:hAnsi="Arial"/>
          <w:b w:val="1"/>
          <w:i w:val="1"/>
          <w:sz w:val="22"/>
          <w:szCs w:val="22"/>
          <w:rtl w:val="0"/>
        </w:rPr>
        <w:t xml:space="preserve">Istituto Nazionale di Astrofisica</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7">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Codice gara U-BUY: G01309</w:t>
      </w:r>
      <w:r w:rsidDel="00000000" w:rsidR="00000000" w:rsidRPr="00000000">
        <w:rPr>
          <w:rtl w:val="0"/>
        </w:rPr>
      </w:r>
    </w:p>
    <w:p w:rsidR="00000000" w:rsidDel="00000000" w:rsidP="00000000" w:rsidRDefault="00000000" w:rsidRPr="00000000" w14:paraId="00000008">
      <w:pPr>
        <w:spacing w:line="276" w:lineRule="auto"/>
        <w:jc w:val="both"/>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CIG: B2112C40A2</w:t>
      </w:r>
    </w:p>
    <w:p w:rsidR="00000000" w:rsidDel="00000000" w:rsidP="00000000" w:rsidRDefault="00000000" w:rsidRPr="00000000" w14:paraId="00000009">
      <w:pPr>
        <w:spacing w:line="276" w:lineRule="auto"/>
        <w:jc w:val="both"/>
        <w:rPr>
          <w:rFonts w:ascii="Titillium" w:cs="Titillium" w:eastAsia="Titillium" w:hAnsi="Titillium"/>
          <w:b w:val="1"/>
          <w:sz w:val="21"/>
          <w:szCs w:val="21"/>
        </w:rPr>
      </w:pPr>
      <w:r w:rsidDel="00000000" w:rsidR="00000000" w:rsidRPr="00000000">
        <w:rPr>
          <w:rtl w:val="0"/>
        </w:rPr>
      </w:r>
    </w:p>
    <w:p w:rsidR="00000000" w:rsidDel="00000000" w:rsidP="00000000" w:rsidRDefault="00000000" w:rsidRPr="00000000" w14:paraId="0000000A">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Il/la sottoscritto/a</w:t>
      </w:r>
      <w:r w:rsidDel="00000000" w:rsidR="00000000" w:rsidRPr="00000000">
        <w:rPr>
          <w:rFonts w:ascii="Titillium" w:cs="Titillium" w:eastAsia="Titillium" w:hAnsi="Titillium"/>
          <w:sz w:val="21"/>
          <w:szCs w:val="21"/>
          <w:vertAlign w:val="superscript"/>
        </w:rPr>
        <w:footnoteReference w:customMarkFollows="0" w:id="0"/>
      </w:r>
      <w:r w:rsidDel="00000000" w:rsidR="00000000" w:rsidRPr="00000000">
        <w:rPr>
          <w:rFonts w:ascii="Titillium" w:cs="Titillium" w:eastAsia="Titillium" w:hAnsi="Titillium"/>
          <w:sz w:val="21"/>
          <w:szCs w:val="21"/>
          <w:rtl w:val="0"/>
        </w:rPr>
        <w:t xml:space="preserve"> ________________________________ nato/a a _____________________ il _____________ Codice Fiscale _________________ residente in ______________ via ______ CAP ______ nella sua qualità di:</w:t>
      </w:r>
    </w:p>
    <w:p w:rsidR="00000000" w:rsidDel="00000000" w:rsidP="00000000" w:rsidRDefault="00000000" w:rsidRPr="00000000" w14:paraId="0000000B">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Titolare </w:t>
      </w:r>
    </w:p>
    <w:p w:rsidR="00000000" w:rsidDel="00000000" w:rsidP="00000000" w:rsidRDefault="00000000" w:rsidRPr="00000000" w14:paraId="0000000C">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legale rappresentante </w:t>
      </w:r>
    </w:p>
    <w:p w:rsidR="00000000" w:rsidDel="00000000" w:rsidP="00000000" w:rsidRDefault="00000000" w:rsidRPr="00000000" w14:paraId="0000000D">
      <w:pPr>
        <w:tabs>
          <w:tab w:val="left" w:leader="none" w:pos="2880"/>
        </w:tabs>
        <w:spacing w:line="276" w:lineRule="auto"/>
        <w:jc w:val="both"/>
        <w:rPr>
          <w:rFonts w:ascii="Titillium" w:cs="Titillium" w:eastAsia="Titillium" w:hAnsi="Titillium"/>
          <w:i w:val="1"/>
          <w:sz w:val="21"/>
          <w:szCs w:val="21"/>
        </w:rPr>
      </w:pPr>
      <w:bookmarkStart w:colFirst="0" w:colLast="0" w:name="_heading=h.3dy6vkm" w:id="1"/>
      <w:bookmarkEnd w:id="1"/>
      <w:r w:rsidDel="00000000" w:rsidR="00000000" w:rsidRPr="00000000">
        <w:rPr>
          <w:rFonts w:ascii="Courier New" w:cs="Courier New" w:eastAsia="Courier New" w:hAnsi="Courier New"/>
          <w:sz w:val="21"/>
          <w:szCs w:val="21"/>
          <w:rtl w:val="0"/>
        </w:rPr>
        <w:t xml:space="preserve">□</w:t>
      </w:r>
      <w:r w:rsidDel="00000000" w:rsidR="00000000" w:rsidRPr="00000000">
        <w:rPr>
          <w:rFonts w:ascii="Titillium" w:cs="Titillium" w:eastAsia="Titillium" w:hAnsi="Titillium"/>
          <w:sz w:val="21"/>
          <w:szCs w:val="21"/>
          <w:rtl w:val="0"/>
        </w:rPr>
        <w:t xml:space="preserve"> Procuratore speciale o generale con mandato di rappresentanza (</w:t>
      </w:r>
      <w:r w:rsidDel="00000000" w:rsidR="00000000" w:rsidRPr="00000000">
        <w:rPr>
          <w:rFonts w:ascii="Titillium" w:cs="Titillium" w:eastAsia="Titillium" w:hAnsi="Titillium"/>
          <w:i w:val="1"/>
          <w:sz w:val="21"/>
          <w:szCs w:val="21"/>
          <w:rtl w:val="0"/>
        </w:rPr>
        <w:t xml:space="preserve">allegare la procura</w:t>
      </w:r>
      <w:r w:rsidDel="00000000" w:rsidR="00000000" w:rsidRPr="00000000">
        <w:rPr>
          <w:rFonts w:ascii="Titillium" w:cs="Titillium" w:eastAsia="Titillium" w:hAnsi="Titillium"/>
          <w:i w:val="1"/>
          <w:sz w:val="21"/>
          <w:szCs w:val="21"/>
          <w:vertAlign w:val="superscript"/>
        </w:rPr>
        <w:footnoteReference w:customMarkFollows="0" w:id="1"/>
      </w:r>
      <w:r w:rsidDel="00000000" w:rsidR="00000000" w:rsidRPr="00000000">
        <w:rPr>
          <w:rFonts w:ascii="Titillium" w:cs="Titillium" w:eastAsia="Titillium" w:hAnsi="Titillium"/>
          <w:i w:val="1"/>
          <w:sz w:val="21"/>
          <w:szCs w:val="21"/>
          <w:rtl w:val="0"/>
        </w:rPr>
        <w:t xml:space="preserve">, tranne nel caso in cui l’attribuzione dell’incarico risulti dalla visura camerale</w:t>
      </w:r>
      <w:r w:rsidDel="00000000" w:rsidR="00000000" w:rsidRPr="00000000">
        <w:rPr>
          <w:rFonts w:ascii="Titillium" w:cs="Titillium" w:eastAsia="Titillium" w:hAnsi="Titillium"/>
          <w:sz w:val="21"/>
          <w:szCs w:val="21"/>
          <w:rtl w:val="0"/>
        </w:rPr>
        <w:t xml:space="preserve">)</w:t>
      </w:r>
      <w:r w:rsidDel="00000000" w:rsidR="00000000" w:rsidRPr="00000000">
        <w:rPr>
          <w:rtl w:val="0"/>
        </w:rPr>
      </w:r>
    </w:p>
    <w:p w:rsidR="00000000" w:rsidDel="00000000" w:rsidP="00000000" w:rsidRDefault="00000000" w:rsidRPr="00000000" w14:paraId="0000000E">
      <w:pPr>
        <w:tabs>
          <w:tab w:val="left" w:leader="none" w:pos="2880"/>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del/della [Impresa/Società/ Società Cooperativa/Consorzio] ___________ ___________________________________________________________________________</w:t>
      </w:r>
    </w:p>
    <w:p w:rsidR="00000000" w:rsidDel="00000000" w:rsidP="00000000" w:rsidRDefault="00000000" w:rsidRPr="00000000" w14:paraId="0000000F">
      <w:pPr>
        <w:tabs>
          <w:tab w:val="left" w:leader="none" w:pos="2880"/>
        </w:tabs>
        <w:spacing w:line="276" w:lineRule="auto"/>
        <w:rPr>
          <w:rFonts w:ascii="Titillium" w:cs="Titillium" w:eastAsia="Titillium" w:hAnsi="Titillium"/>
          <w:b w:val="1"/>
          <w:sz w:val="21"/>
          <w:szCs w:val="21"/>
        </w:rPr>
      </w:pPr>
      <w:r w:rsidDel="00000000" w:rsidR="00000000" w:rsidRPr="00000000">
        <w:rPr>
          <w:rtl w:val="0"/>
        </w:rPr>
      </w:r>
    </w:p>
    <w:p w:rsidR="00000000" w:rsidDel="00000000" w:rsidP="00000000" w:rsidRDefault="00000000" w:rsidRPr="00000000" w14:paraId="00000010">
      <w:pPr>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ai sensi e per gli effetti degli artt. 46 e 47 del D.P.R. n. 445/2000, consapevole del fatto che, in caso di dichiarazione mendace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000000" w:rsidDel="00000000" w:rsidP="00000000" w:rsidRDefault="00000000" w:rsidRPr="00000000" w14:paraId="00000011">
      <w:pP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DICHIARA</w:t>
      </w:r>
    </w:p>
    <w:p w:rsidR="00000000" w:rsidDel="00000000" w:rsidP="00000000" w:rsidRDefault="00000000" w:rsidRPr="00000000" w14:paraId="00000013">
      <w:pP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30j0zll" w:id="2"/>
      <w:bookmarkEnd w:id="2"/>
      <w:r w:rsidDel="00000000" w:rsidR="00000000" w:rsidRPr="00000000">
        <w:rPr>
          <w:rFonts w:ascii="Titillium" w:cs="Titillium" w:eastAsia="Titillium" w:hAnsi="Titillium"/>
          <w:color w:val="000000"/>
          <w:sz w:val="21"/>
          <w:szCs w:val="21"/>
          <w:rtl w:val="0"/>
        </w:rPr>
        <w:t xml:space="preserve">di possedere tutti i requisiti ordine generale e di ordine speciale, nonché previsti </w:t>
      </w:r>
      <w:r w:rsidDel="00000000" w:rsidR="00000000" w:rsidRPr="00000000">
        <w:rPr>
          <w:rFonts w:ascii="Titillium" w:cs="Titillium" w:eastAsia="Titillium" w:hAnsi="Titillium"/>
          <w:sz w:val="21"/>
          <w:szCs w:val="21"/>
          <w:rtl w:val="0"/>
        </w:rPr>
        <w:t xml:space="preserve">n</w:t>
      </w:r>
      <w:r w:rsidDel="00000000" w:rsidR="00000000" w:rsidRPr="00000000">
        <w:rPr>
          <w:rFonts w:ascii="Titillium" w:cs="Titillium" w:eastAsia="Titillium" w:hAnsi="Titillium"/>
          <w:color w:val="000000"/>
          <w:sz w:val="21"/>
          <w:szCs w:val="21"/>
          <w:rtl w:val="0"/>
        </w:rPr>
        <w:t xml:space="preserve">el Disciplinare di gara;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tutte le certificazioni presentate sono conformi agli originali in possesso del dichiarante e che la documentazione presentata in copia viene prodotta ai sensi del D. lgs. n. 82/2005;</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t3h5sf" w:id="3"/>
      <w:bookmarkEnd w:id="3"/>
      <w:r w:rsidDel="00000000" w:rsidR="00000000" w:rsidRPr="00000000">
        <w:rPr>
          <w:rFonts w:ascii="Titillium" w:cs="Titillium" w:eastAsia="Titillium" w:hAnsi="Titillium"/>
          <w:color w:val="000000"/>
          <w:sz w:val="21"/>
          <w:szCs w:val="21"/>
          <w:rtl w:val="0"/>
        </w:rPr>
        <w:t xml:space="preserve">di non incorrere nelle cause di esclusione di </w:t>
      </w:r>
      <w:r w:rsidDel="00000000" w:rsidR="00000000" w:rsidRPr="00000000">
        <w:rPr>
          <w:rFonts w:ascii="Titillium" w:cs="Titillium" w:eastAsia="Titillium" w:hAnsi="Titillium"/>
          <w:sz w:val="21"/>
          <w:szCs w:val="21"/>
          <w:rtl w:val="0"/>
        </w:rPr>
        <w:t xml:space="preserve">cui agli</w:t>
      </w:r>
      <w:r w:rsidDel="00000000" w:rsidR="00000000" w:rsidRPr="00000000">
        <w:rPr>
          <w:rFonts w:ascii="Titillium" w:cs="Titillium" w:eastAsia="Titillium" w:hAnsi="Titillium"/>
          <w:color w:val="000000"/>
          <w:sz w:val="21"/>
          <w:szCs w:val="21"/>
          <w:rtl w:val="0"/>
        </w:rPr>
        <w:t xml:space="preserve"> artt.  94, comma 1, lett. a), b), c), comma 3, comma 4, comma 5 lett. d), e) e comma 6, art. 96, commi 8 e 9, art. 98, comma 1, 2 e 3 del D. lgs. 36/2023 (di seguito anche Codice)</w:t>
      </w:r>
      <w:r w:rsidDel="00000000" w:rsidR="00000000" w:rsidRPr="00000000">
        <w:rPr>
          <w:rFonts w:ascii="Titillium" w:cs="Titillium" w:eastAsia="Titillium" w:hAnsi="Titillium"/>
          <w:sz w:val="21"/>
          <w:szCs w:val="21"/>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con riferimento alle cause di esclusione non automatica previste dall’art. 95 del D. lgs. n. 36/2023:</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l’operatore economico non ha commesso gravi infrazioni</w:t>
      </w:r>
      <w:r w:rsidDel="00000000" w:rsidR="00000000" w:rsidRPr="00000000">
        <w:rPr>
          <w:rFonts w:ascii="Titillium" w:cs="Titillium" w:eastAsia="Titillium" w:hAnsi="Titillium"/>
          <w:color w:val="000000"/>
          <w:sz w:val="21"/>
          <w:szCs w:val="21"/>
          <w:rtl w:val="0"/>
        </w:rPr>
        <w:t xml:space="preserve"> rispetto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la propria partecipazione non determina una situazione di conflitto di interesse</w:t>
      </w:r>
      <w:r w:rsidDel="00000000" w:rsidR="00000000" w:rsidRPr="00000000">
        <w:rPr>
          <w:rFonts w:ascii="Titillium" w:cs="Titillium" w:eastAsia="Titillium" w:hAnsi="Titillium"/>
          <w:color w:val="000000"/>
          <w:sz w:val="21"/>
          <w:szCs w:val="21"/>
          <w:rtl w:val="0"/>
        </w:rPr>
        <w:t xml:space="preserve"> ai sensi dell’art.16 del D. lgs. n. 36/2023, non diversamente risolvibile e che non sussistono situazioni, anche potenziali, di conflitto di interesse, ai sensi della normativa vigente, in relazione alla realizzazione degli interventi previsti nella presente procedura di gara;</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la propria partecipazione non determina una distorsione della concorrenza</w:t>
      </w:r>
      <w:r w:rsidDel="00000000" w:rsidR="00000000" w:rsidRPr="00000000">
        <w:rPr>
          <w:rFonts w:ascii="Titillium" w:cs="Titillium" w:eastAsia="Titillium" w:hAnsi="Titillium"/>
          <w:color w:val="000000"/>
          <w:sz w:val="21"/>
          <w:szCs w:val="21"/>
          <w:rtl w:val="0"/>
        </w:rPr>
        <w:t xml:space="preserve"> derivante dal proprio precedente coinvolgimento nella preparazione della procedura d’appalto che non possa essere risolta con misure meno intrusive;</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pacing w:line="276" w:lineRule="auto"/>
        <w:ind w:left="357" w:hanging="357"/>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l’operatore economico non ha commesso illeciti professionali gravi</w:t>
      </w:r>
      <w:r w:rsidDel="00000000" w:rsidR="00000000" w:rsidRPr="00000000">
        <w:rPr>
          <w:rFonts w:ascii="Titillium" w:cs="Titillium" w:eastAsia="Titillium" w:hAnsi="Titillium"/>
          <w:color w:val="000000"/>
          <w:sz w:val="21"/>
          <w:szCs w:val="21"/>
          <w:rtl w:val="0"/>
        </w:rPr>
        <w:t xml:space="preserve"> tali da rendere dubbia la sua integrità o affidabilità;</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line="276" w:lineRule="auto"/>
        <w:ind w:left="141"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con riferiment</w:t>
      </w:r>
      <w:r w:rsidDel="00000000" w:rsidR="00000000" w:rsidRPr="00000000">
        <w:rPr>
          <w:rFonts w:ascii="Titillium" w:cs="Titillium" w:eastAsia="Titillium" w:hAnsi="Titillium"/>
          <w:sz w:val="21"/>
          <w:szCs w:val="21"/>
          <w:rtl w:val="0"/>
        </w:rPr>
        <w:t xml:space="preserve">o</w:t>
      </w:r>
      <w:r w:rsidDel="00000000" w:rsidR="00000000" w:rsidRPr="00000000">
        <w:rPr>
          <w:rFonts w:ascii="Titillium" w:cs="Titillium" w:eastAsia="Titillium" w:hAnsi="Titillium"/>
          <w:color w:val="000000"/>
          <w:sz w:val="21"/>
          <w:szCs w:val="21"/>
          <w:rtl w:val="0"/>
        </w:rPr>
        <w:t xml:space="preserve"> ai dati identificativi dei soggetti di cui all’art. 94, commi 3 e 4 del Codice: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22">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soggetti titolari di poteri di amministrazione e rappresentanza</w:t>
      </w:r>
      <w:r w:rsidDel="00000000" w:rsidR="00000000" w:rsidRPr="00000000">
        <w:rPr>
          <w:rFonts w:ascii="Titillium" w:cs="Titillium" w:eastAsia="Titillium" w:hAnsi="Titillium"/>
          <w:sz w:val="21"/>
          <w:szCs w:val="21"/>
          <w:rtl w:val="0"/>
        </w:rPr>
        <w:t xml:space="preserve">,</w:t>
      </w:r>
      <w:r w:rsidDel="00000000" w:rsidR="00000000" w:rsidRPr="00000000">
        <w:rPr>
          <w:rFonts w:ascii="Titillium" w:cs="Titillium" w:eastAsia="Titillium" w:hAnsi="Titillium"/>
          <w:sz w:val="21"/>
          <w:szCs w:val="21"/>
          <w:shd w:fill="f5fdfe" w:val="clear"/>
          <w:rtl w:val="0"/>
        </w:rPr>
        <w:t xml:space="preserve"> </w:t>
      </w:r>
      <w:r w:rsidDel="00000000" w:rsidR="00000000" w:rsidRPr="00000000">
        <w:rPr>
          <w:rFonts w:ascii="Titillium" w:cs="Titillium" w:eastAsia="Titillium" w:hAnsi="Titillium"/>
          <w:sz w:val="21"/>
          <w:szCs w:val="21"/>
          <w:rtl w:val="0"/>
        </w:rPr>
        <w:t xml:space="preserve">ivi compresi institori e procuratori generali</w:t>
      </w:r>
      <w:r w:rsidDel="00000000" w:rsidR="00000000" w:rsidRPr="00000000">
        <w:rPr>
          <w:rFonts w:ascii="Titillium" w:cs="Titillium" w:eastAsia="Titillium" w:hAnsi="Titillium"/>
          <w:sz w:val="21"/>
          <w:szCs w:val="21"/>
          <w:shd w:fill="f5fdfe" w:val="clear"/>
          <w:rtl w:val="0"/>
        </w:rPr>
        <w:t xml:space="preserve">, </w:t>
      </w:r>
      <w:r w:rsidDel="00000000" w:rsidR="00000000" w:rsidRPr="00000000">
        <w:rPr>
          <w:rFonts w:ascii="Titillium" w:cs="Titillium" w:eastAsia="Titillium" w:hAnsi="Titillium"/>
          <w:sz w:val="21"/>
          <w:szCs w:val="21"/>
          <w:rtl w:val="0"/>
        </w:rPr>
        <w:t xml:space="preserve">nonché i poteri loro conferiti, sono: </w:t>
      </w:r>
    </w:p>
    <w:p w:rsidR="00000000" w:rsidDel="00000000" w:rsidP="00000000" w:rsidRDefault="00000000" w:rsidRPr="00000000" w14:paraId="00000023">
      <w:pPr>
        <w:spacing w:line="276" w:lineRule="auto"/>
        <w:rPr>
          <w:rFonts w:ascii="Titillium" w:cs="Titillium" w:eastAsia="Titillium" w:hAnsi="Titillium"/>
          <w:sz w:val="21"/>
          <w:szCs w:val="21"/>
        </w:rPr>
      </w:pPr>
      <w:r w:rsidDel="00000000" w:rsidR="00000000" w:rsidRPr="00000000">
        <w:rPr>
          <w:rtl w:val="0"/>
        </w:rPr>
      </w:r>
    </w:p>
    <w:tbl>
      <w:tblPr>
        <w:tblStyle w:val="Table1"/>
        <w:tblW w:w="10033.0" w:type="dxa"/>
        <w:jc w:val="left"/>
        <w:tblInd w:w="-120.0" w:type="dxa"/>
        <w:tblLayout w:type="fixed"/>
        <w:tblLook w:val="0400"/>
      </w:tblPr>
      <w:tblGrid>
        <w:gridCol w:w="2179"/>
        <w:gridCol w:w="1438"/>
        <w:gridCol w:w="1992"/>
        <w:gridCol w:w="2003"/>
        <w:gridCol w:w="2421"/>
        <w:tblGridChange w:id="0">
          <w:tblGrid>
            <w:gridCol w:w="2179"/>
            <w:gridCol w:w="1438"/>
            <w:gridCol w:w="1992"/>
            <w:gridCol w:w="2003"/>
            <w:gridCol w:w="2421"/>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6">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7">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8">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2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0">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35">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6">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componenti degli organi con poteri di direzione o di vigilanza</w:t>
      </w:r>
      <w:r w:rsidDel="00000000" w:rsidR="00000000" w:rsidRPr="00000000">
        <w:rPr>
          <w:rFonts w:ascii="Titillium" w:cs="Titillium" w:eastAsia="Titillium" w:hAnsi="Titillium"/>
          <w:sz w:val="21"/>
          <w:szCs w:val="21"/>
          <w:rtl w:val="0"/>
        </w:rPr>
        <w:t xml:space="preserve"> sono:</w:t>
      </w:r>
    </w:p>
    <w:p w:rsidR="00000000" w:rsidDel="00000000" w:rsidP="00000000" w:rsidRDefault="00000000" w:rsidRPr="00000000" w14:paraId="00000037">
      <w:pPr>
        <w:spacing w:line="276" w:lineRule="auto"/>
        <w:rPr>
          <w:rFonts w:ascii="Titillium" w:cs="Titillium" w:eastAsia="Titillium" w:hAnsi="Titillium"/>
          <w:sz w:val="21"/>
          <w:szCs w:val="21"/>
        </w:rPr>
      </w:pPr>
      <w:r w:rsidDel="00000000" w:rsidR="00000000" w:rsidRPr="00000000">
        <w:rPr>
          <w:rtl w:val="0"/>
        </w:rPr>
      </w:r>
    </w:p>
    <w:tbl>
      <w:tblPr>
        <w:tblStyle w:val="Table2"/>
        <w:tblW w:w="10053.0" w:type="dxa"/>
        <w:jc w:val="left"/>
        <w:tblLayout w:type="fixed"/>
        <w:tblLook w:val="0400"/>
      </w:tblPr>
      <w:tblGrid>
        <w:gridCol w:w="1920"/>
        <w:gridCol w:w="1619"/>
        <w:gridCol w:w="1910"/>
        <w:gridCol w:w="2092"/>
        <w:gridCol w:w="2512"/>
        <w:tblGridChange w:id="0">
          <w:tblGrid>
            <w:gridCol w:w="1920"/>
            <w:gridCol w:w="1619"/>
            <w:gridCol w:w="1910"/>
            <w:gridCol w:w="2092"/>
            <w:gridCol w:w="2512"/>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E">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49">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A">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w:t>
      </w:r>
      <w:r w:rsidDel="00000000" w:rsidR="00000000" w:rsidRPr="00000000">
        <w:rPr>
          <w:rFonts w:ascii="Titillium" w:cs="Titillium" w:eastAsia="Titillium" w:hAnsi="Titillium"/>
          <w:b w:val="1"/>
          <w:sz w:val="21"/>
          <w:szCs w:val="21"/>
          <w:rtl w:val="0"/>
        </w:rPr>
        <w:t xml:space="preserve">soggetti muniti di poteri di rappresentanza, di direzione o di controllo</w:t>
      </w:r>
      <w:r w:rsidDel="00000000" w:rsidR="00000000" w:rsidRPr="00000000">
        <w:rPr>
          <w:rFonts w:ascii="Titillium" w:cs="Titillium" w:eastAsia="Titillium" w:hAnsi="Titillium"/>
          <w:sz w:val="21"/>
          <w:szCs w:val="21"/>
          <w:rtl w:val="0"/>
        </w:rPr>
        <w:t xml:space="preserve"> sono:</w:t>
      </w:r>
    </w:p>
    <w:p w:rsidR="00000000" w:rsidDel="00000000" w:rsidP="00000000" w:rsidRDefault="00000000" w:rsidRPr="00000000" w14:paraId="0000004B">
      <w:pPr>
        <w:spacing w:line="276" w:lineRule="auto"/>
        <w:jc w:val="both"/>
        <w:rPr>
          <w:rFonts w:ascii="Titillium" w:cs="Titillium" w:eastAsia="Titillium" w:hAnsi="Titillium"/>
          <w:sz w:val="21"/>
          <w:szCs w:val="21"/>
        </w:rPr>
      </w:pPr>
      <w:r w:rsidDel="00000000" w:rsidR="00000000" w:rsidRPr="00000000">
        <w:rPr>
          <w:rtl w:val="0"/>
        </w:rPr>
      </w:r>
    </w:p>
    <w:tbl>
      <w:tblPr>
        <w:tblStyle w:val="Table3"/>
        <w:tblW w:w="10065.0" w:type="dxa"/>
        <w:jc w:val="left"/>
        <w:tblInd w:w="-120.0" w:type="dxa"/>
        <w:tblLayout w:type="fixed"/>
        <w:tblLook w:val="0400"/>
      </w:tblPr>
      <w:tblGrid>
        <w:gridCol w:w="2179"/>
        <w:gridCol w:w="1438"/>
        <w:gridCol w:w="1992"/>
        <w:gridCol w:w="2003"/>
        <w:gridCol w:w="2453"/>
        <w:tblGridChange w:id="0">
          <w:tblGrid>
            <w:gridCol w:w="2179"/>
            <w:gridCol w:w="1438"/>
            <w:gridCol w:w="1992"/>
            <w:gridCol w:w="2003"/>
            <w:gridCol w:w="2453"/>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E">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2">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5D">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5E">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rivestono la qualifica di Direttore Tecnico</w:t>
      </w:r>
      <w:r w:rsidDel="00000000" w:rsidR="00000000" w:rsidRPr="00000000">
        <w:rPr>
          <w:rFonts w:ascii="Titillium" w:cs="Titillium" w:eastAsia="Titillium" w:hAnsi="Titillium"/>
          <w:i w:val="1"/>
          <w:sz w:val="21"/>
          <w:szCs w:val="21"/>
          <w:rtl w:val="0"/>
        </w:rPr>
        <w:t xml:space="preserve"> </w:t>
      </w:r>
      <w:r w:rsidDel="00000000" w:rsidR="00000000" w:rsidRPr="00000000">
        <w:rPr>
          <w:rFonts w:ascii="Titillium" w:cs="Titillium" w:eastAsia="Titillium" w:hAnsi="Titillium"/>
          <w:sz w:val="21"/>
          <w:szCs w:val="21"/>
          <w:rtl w:val="0"/>
        </w:rPr>
        <w:t xml:space="preserve">i seguenti soggetti:</w:t>
      </w:r>
    </w:p>
    <w:p w:rsidR="00000000" w:rsidDel="00000000" w:rsidP="00000000" w:rsidRDefault="00000000" w:rsidRPr="00000000" w14:paraId="0000005F">
      <w:pPr>
        <w:spacing w:line="276" w:lineRule="auto"/>
        <w:rPr>
          <w:rFonts w:ascii="Titillium" w:cs="Titillium" w:eastAsia="Titillium" w:hAnsi="Titillium"/>
          <w:sz w:val="21"/>
          <w:szCs w:val="21"/>
        </w:rPr>
      </w:pPr>
      <w:r w:rsidDel="00000000" w:rsidR="00000000" w:rsidRPr="00000000">
        <w:rPr>
          <w:rtl w:val="0"/>
        </w:rPr>
      </w:r>
    </w:p>
    <w:tbl>
      <w:tblPr>
        <w:tblStyle w:val="Table4"/>
        <w:tblW w:w="9918.0" w:type="dxa"/>
        <w:jc w:val="center"/>
        <w:tblLayout w:type="fixed"/>
        <w:tblLook w:val="0400"/>
      </w:tblPr>
      <w:tblGrid>
        <w:gridCol w:w="2435"/>
        <w:gridCol w:w="2082"/>
        <w:gridCol w:w="2128"/>
        <w:gridCol w:w="3273"/>
        <w:tblGridChange w:id="0">
          <w:tblGrid>
            <w:gridCol w:w="2435"/>
            <w:gridCol w:w="2082"/>
            <w:gridCol w:w="2128"/>
            <w:gridCol w:w="3273"/>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6E">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F">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il socio amministratore</w:t>
      </w:r>
      <w:r w:rsidDel="00000000" w:rsidR="00000000" w:rsidRPr="00000000">
        <w:rPr>
          <w:rFonts w:ascii="Titillium" w:cs="Titillium" w:eastAsia="Titillium" w:hAnsi="Titillium"/>
          <w:sz w:val="21"/>
          <w:szCs w:val="21"/>
          <w:rtl w:val="0"/>
        </w:rPr>
        <w:t xml:space="preserve"> in caso di società in nome collettivo </w:t>
      </w:r>
      <w:r w:rsidDel="00000000" w:rsidR="00000000" w:rsidRPr="00000000">
        <w:rPr>
          <w:rFonts w:ascii="Titillium" w:cs="Titillium" w:eastAsia="Titillium" w:hAnsi="Titillium"/>
          <w:b w:val="1"/>
          <w:sz w:val="21"/>
          <w:szCs w:val="21"/>
          <w:rtl w:val="0"/>
        </w:rPr>
        <w:t xml:space="preserve">o i soci accomandatari</w:t>
      </w:r>
      <w:r w:rsidDel="00000000" w:rsidR="00000000" w:rsidRPr="00000000">
        <w:rPr>
          <w:rFonts w:ascii="Titillium" w:cs="Titillium" w:eastAsia="Titillium" w:hAnsi="Titillium"/>
          <w:sz w:val="21"/>
          <w:szCs w:val="21"/>
          <w:rtl w:val="0"/>
        </w:rPr>
        <w:t xml:space="preserve"> in caso di società in accomandita semplice è / sono:</w:t>
      </w:r>
    </w:p>
    <w:p w:rsidR="00000000" w:rsidDel="00000000" w:rsidP="00000000" w:rsidRDefault="00000000" w:rsidRPr="00000000" w14:paraId="00000070">
      <w:pPr>
        <w:spacing w:line="276" w:lineRule="auto"/>
        <w:rPr>
          <w:rFonts w:ascii="Titillium" w:cs="Titillium" w:eastAsia="Titillium" w:hAnsi="Titillium"/>
          <w:sz w:val="21"/>
          <w:szCs w:val="21"/>
        </w:rPr>
      </w:pPr>
      <w:r w:rsidDel="00000000" w:rsidR="00000000" w:rsidRPr="00000000">
        <w:rPr>
          <w:rtl w:val="0"/>
        </w:rPr>
      </w:r>
    </w:p>
    <w:tbl>
      <w:tblPr>
        <w:tblStyle w:val="Table5"/>
        <w:tblW w:w="9923.0" w:type="dxa"/>
        <w:jc w:val="center"/>
        <w:tblLayout w:type="fixed"/>
        <w:tblLook w:val="0400"/>
      </w:tblPr>
      <w:tblGrid>
        <w:gridCol w:w="2880"/>
        <w:gridCol w:w="2081"/>
        <w:gridCol w:w="2127"/>
        <w:gridCol w:w="2835"/>
        <w:tblGridChange w:id="0">
          <w:tblGrid>
            <w:gridCol w:w="2880"/>
            <w:gridCol w:w="2081"/>
            <w:gridCol w:w="2127"/>
            <w:gridCol w:w="2835"/>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B">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7F">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0">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il </w:t>
      </w:r>
      <w:r w:rsidDel="00000000" w:rsidR="00000000" w:rsidRPr="00000000">
        <w:rPr>
          <w:rFonts w:ascii="Titillium" w:cs="Titillium" w:eastAsia="Titillium" w:hAnsi="Titillium"/>
          <w:b w:val="1"/>
          <w:sz w:val="21"/>
          <w:szCs w:val="21"/>
          <w:rtl w:val="0"/>
        </w:rPr>
        <w:t xml:space="preserve">socio unico</w:t>
      </w:r>
      <w:r w:rsidDel="00000000" w:rsidR="00000000" w:rsidRPr="00000000">
        <w:rPr>
          <w:rFonts w:ascii="Titillium" w:cs="Titillium" w:eastAsia="Titillium" w:hAnsi="Titillium"/>
          <w:sz w:val="21"/>
          <w:szCs w:val="21"/>
          <w:rtl w:val="0"/>
        </w:rPr>
        <w:t xml:space="preserve"> è;</w:t>
      </w:r>
    </w:p>
    <w:p w:rsidR="00000000" w:rsidDel="00000000" w:rsidP="00000000" w:rsidRDefault="00000000" w:rsidRPr="00000000" w14:paraId="00000081">
      <w:pPr>
        <w:spacing w:line="276" w:lineRule="auto"/>
        <w:rPr>
          <w:rFonts w:ascii="Titillium" w:cs="Titillium" w:eastAsia="Titillium" w:hAnsi="Titillium"/>
          <w:sz w:val="21"/>
          <w:szCs w:val="21"/>
        </w:rPr>
      </w:pPr>
      <w:r w:rsidDel="00000000" w:rsidR="00000000" w:rsidRPr="00000000">
        <w:rPr>
          <w:rtl w:val="0"/>
        </w:rPr>
      </w:r>
    </w:p>
    <w:tbl>
      <w:tblPr>
        <w:tblStyle w:val="Table6"/>
        <w:tblW w:w="9923.0" w:type="dxa"/>
        <w:jc w:val="center"/>
        <w:tblLayout w:type="fixed"/>
        <w:tblLook w:val="0400"/>
      </w:tblPr>
      <w:tblGrid>
        <w:gridCol w:w="2563"/>
        <w:gridCol w:w="2126"/>
        <w:gridCol w:w="2399"/>
        <w:gridCol w:w="2835"/>
        <w:tblGridChange w:id="0">
          <w:tblGrid>
            <w:gridCol w:w="2563"/>
            <w:gridCol w:w="2126"/>
            <w:gridCol w:w="2399"/>
            <w:gridCol w:w="2835"/>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84">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85">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8B">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8C">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w:t>
      </w:r>
      <w:r w:rsidDel="00000000" w:rsidR="00000000" w:rsidRPr="00000000">
        <w:rPr>
          <w:rFonts w:ascii="Titillium" w:cs="Titillium" w:eastAsia="Titillium" w:hAnsi="Titillium"/>
          <w:b w:val="1"/>
          <w:sz w:val="21"/>
          <w:szCs w:val="21"/>
          <w:rtl w:val="0"/>
        </w:rPr>
        <w:t xml:space="preserve">l’amministratore di fatto</w:t>
      </w:r>
      <w:r w:rsidDel="00000000" w:rsidR="00000000" w:rsidRPr="00000000">
        <w:rPr>
          <w:rFonts w:ascii="Titillium" w:cs="Titillium" w:eastAsia="Titillium" w:hAnsi="Titillium"/>
          <w:sz w:val="21"/>
          <w:szCs w:val="21"/>
          <w:rtl w:val="0"/>
        </w:rPr>
        <w:t xml:space="preserve"> di cui all’art. 94, comma 3, lett. h) del Codice è:</w:t>
      </w:r>
    </w:p>
    <w:p w:rsidR="00000000" w:rsidDel="00000000" w:rsidP="00000000" w:rsidRDefault="00000000" w:rsidRPr="00000000" w14:paraId="0000008D">
      <w:pPr>
        <w:spacing w:line="276" w:lineRule="auto"/>
        <w:rPr>
          <w:rFonts w:ascii="Titillium" w:cs="Titillium" w:eastAsia="Titillium" w:hAnsi="Titillium"/>
          <w:sz w:val="21"/>
          <w:szCs w:val="21"/>
        </w:rPr>
      </w:pPr>
      <w:r w:rsidDel="00000000" w:rsidR="00000000" w:rsidRPr="00000000">
        <w:rPr>
          <w:rtl w:val="0"/>
        </w:rPr>
      </w:r>
    </w:p>
    <w:tbl>
      <w:tblPr>
        <w:tblStyle w:val="Table7"/>
        <w:tblW w:w="9781.000000000002" w:type="dxa"/>
        <w:jc w:val="left"/>
        <w:tblInd w:w="-120.0" w:type="dxa"/>
        <w:tblLayout w:type="fixed"/>
        <w:tblLook w:val="0400"/>
      </w:tblPr>
      <w:tblGrid>
        <w:gridCol w:w="2268"/>
        <w:gridCol w:w="2163"/>
        <w:gridCol w:w="2373"/>
        <w:gridCol w:w="2977"/>
        <w:tblGridChange w:id="0">
          <w:tblGrid>
            <w:gridCol w:w="2268"/>
            <w:gridCol w:w="2163"/>
            <w:gridCol w:w="2373"/>
            <w:gridCol w:w="2977"/>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3">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76" w:lineRule="auto"/>
              <w:jc w:val="center"/>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9C">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9D">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 caso di </w:t>
      </w:r>
      <w:r w:rsidDel="00000000" w:rsidR="00000000" w:rsidRPr="00000000">
        <w:rPr>
          <w:rFonts w:ascii="Titillium" w:cs="Titillium" w:eastAsia="Titillium" w:hAnsi="Titillium"/>
          <w:b w:val="1"/>
          <w:sz w:val="21"/>
          <w:szCs w:val="21"/>
          <w:rtl w:val="0"/>
        </w:rPr>
        <w:t xml:space="preserve">socio persona giuridica, gli amministratori</w:t>
      </w:r>
      <w:r w:rsidDel="00000000" w:rsidR="00000000" w:rsidRPr="00000000">
        <w:rPr>
          <w:rFonts w:ascii="Titillium" w:cs="Titillium" w:eastAsia="Titillium" w:hAnsi="Titillium"/>
          <w:sz w:val="21"/>
          <w:szCs w:val="21"/>
          <w:rtl w:val="0"/>
        </w:rPr>
        <w:t xml:space="preserve"> della stessa, ai fini dell’art. 94, comma 4, del Codice, sono:</w:t>
      </w:r>
    </w:p>
    <w:p w:rsidR="00000000" w:rsidDel="00000000" w:rsidP="00000000" w:rsidRDefault="00000000" w:rsidRPr="00000000" w14:paraId="0000009E">
      <w:pPr>
        <w:spacing w:line="276" w:lineRule="auto"/>
        <w:rPr>
          <w:rFonts w:ascii="Titillium" w:cs="Titillium" w:eastAsia="Titillium" w:hAnsi="Titillium"/>
          <w:sz w:val="21"/>
          <w:szCs w:val="21"/>
        </w:rPr>
      </w:pPr>
      <w:r w:rsidDel="00000000" w:rsidR="00000000" w:rsidRPr="00000000">
        <w:rPr>
          <w:rtl w:val="0"/>
        </w:rPr>
      </w:r>
    </w:p>
    <w:tbl>
      <w:tblPr>
        <w:tblStyle w:val="Table8"/>
        <w:tblW w:w="9923.0" w:type="dxa"/>
        <w:jc w:val="left"/>
        <w:tblInd w:w="-120.0" w:type="dxa"/>
        <w:tblLayout w:type="fixed"/>
        <w:tblLook w:val="0400"/>
      </w:tblPr>
      <w:tblGrid>
        <w:gridCol w:w="2179"/>
        <w:gridCol w:w="1438"/>
        <w:gridCol w:w="1992"/>
        <w:gridCol w:w="2003"/>
        <w:gridCol w:w="2311"/>
        <w:tblGridChange w:id="0">
          <w:tblGrid>
            <w:gridCol w:w="2179"/>
            <w:gridCol w:w="1438"/>
            <w:gridCol w:w="1992"/>
            <w:gridCol w:w="2003"/>
            <w:gridCol w:w="2311"/>
          </w:tblGrid>
        </w:tblGridChange>
      </w:tblGrid>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Nome e cognome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Data e luogo di nascita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1">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Residenza</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2">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Codice fiscale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A3">
            <w:pPr>
              <w:spacing w:line="276" w:lineRule="auto"/>
              <w:jc w:val="center"/>
              <w:rPr>
                <w:rFonts w:ascii="Titillium" w:cs="Titillium" w:eastAsia="Titillium" w:hAnsi="Titillium"/>
                <w:b w:val="1"/>
                <w:sz w:val="21"/>
                <w:szCs w:val="21"/>
              </w:rPr>
            </w:pPr>
            <w:r w:rsidDel="00000000" w:rsidR="00000000" w:rsidRPr="00000000">
              <w:rPr>
                <w:rFonts w:ascii="Titillium" w:cs="Titillium" w:eastAsia="Titillium" w:hAnsi="Titillium"/>
                <w:b w:val="1"/>
                <w:sz w:val="21"/>
                <w:szCs w:val="21"/>
                <w:rtl w:val="0"/>
              </w:rPr>
              <w:t xml:space="preserve">Poteri conferiti / qualifica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line="276"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A5">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76" w:lineRule="auto"/>
              <w:jc w:val="center"/>
              <w:rPr>
                <w:rFonts w:ascii="Titillium" w:cs="Titillium" w:eastAsia="Titillium" w:hAnsi="Titillium"/>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line="276" w:lineRule="auto"/>
              <w:jc w:val="center"/>
              <w:rPr>
                <w:rFonts w:ascii="Titillium" w:cs="Titillium" w:eastAsia="Titillium" w:hAnsi="Titillium"/>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line="276" w:lineRule="auto"/>
              <w:jc w:val="center"/>
              <w:rPr>
                <w:rFonts w:ascii="Titillium" w:cs="Titillium" w:eastAsia="Titillium" w:hAnsi="Titillium"/>
                <w:strike w:val="1"/>
                <w:sz w:val="21"/>
                <w:szCs w:val="21"/>
              </w:rPr>
            </w:pPr>
            <w:r w:rsidDel="00000000" w:rsidR="00000000" w:rsidRPr="00000000">
              <w:rPr>
                <w:rtl w:val="0"/>
              </w:rPr>
            </w:r>
          </w:p>
          <w:p w:rsidR="00000000" w:rsidDel="00000000" w:rsidP="00000000" w:rsidRDefault="00000000" w:rsidRPr="00000000" w14:paraId="000000AB">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76" w:lineRule="auto"/>
              <w:jc w:val="center"/>
              <w:rPr>
                <w:rFonts w:ascii="Titillium" w:cs="Titillium" w:eastAsia="Titillium" w:hAnsi="Titillium"/>
                <w:strike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line="276" w:lineRule="auto"/>
              <w:jc w:val="center"/>
              <w:rPr>
                <w:rFonts w:ascii="Titillium" w:cs="Titillium" w:eastAsia="Titillium" w:hAnsi="Titillium"/>
                <w:strike w:val="1"/>
                <w:sz w:val="21"/>
                <w:szCs w:val="21"/>
              </w:rPr>
            </w:pPr>
            <w:r w:rsidDel="00000000" w:rsidR="00000000" w:rsidRPr="00000000">
              <w:rPr>
                <w:rtl w:val="0"/>
              </w:rPr>
            </w:r>
          </w:p>
        </w:tc>
      </w:tr>
    </w:tbl>
    <w:p w:rsidR="00000000" w:rsidDel="00000000" w:rsidP="00000000" w:rsidRDefault="00000000" w:rsidRPr="00000000" w14:paraId="000000B0">
      <w:pPr>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1">
      <w:pPr>
        <w:numPr>
          <w:ilvl w:val="0"/>
          <w:numId w:val="7"/>
        </w:numPr>
        <w:spacing w:line="276" w:lineRule="auto"/>
        <w:ind w:left="0" w:firstLine="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ovvero che la banca dati ufficiale o il pubblico registro da cui i medesimi possono essere ricavati in modo aggiornato alla data di presentazione dell’offerta è il seguente: ____________________________________________________________________;</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in caso di applicazione di misure di self-cleaning</w:t>
      </w:r>
      <w:r w:rsidDel="00000000" w:rsidR="00000000" w:rsidRPr="00000000">
        <w:rPr>
          <w:rFonts w:ascii="Titillium" w:cs="Titillium" w:eastAsia="Titillium" w:hAnsi="Titillium"/>
          <w:b w:val="1"/>
          <w:i w:val="1"/>
          <w:color w:val="000000"/>
          <w:sz w:val="21"/>
          <w:szCs w:val="21"/>
          <w:vertAlign w:val="superscript"/>
        </w:rPr>
        <w:footnoteReference w:customMarkFollows="0" w:id="2"/>
      </w:r>
      <w:r w:rsidDel="00000000" w:rsidR="00000000" w:rsidRPr="00000000">
        <w:rPr>
          <w:rFonts w:ascii="Titillium" w:cs="Titillium" w:eastAsia="Titillium" w:hAnsi="Titillium"/>
          <w:b w:val="1"/>
          <w:color w:val="000000"/>
          <w:sz w:val="21"/>
          <w:szCs w:val="21"/>
          <w:rtl w:val="0"/>
        </w:rPr>
        <w:t xml:space="preserv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aver</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adottato</w:t>
      </w:r>
      <w:r w:rsidDel="00000000" w:rsidR="00000000" w:rsidRPr="00000000">
        <w:rPr>
          <w:rFonts w:ascii="Titillium" w:cs="Titillium" w:eastAsia="Titillium" w:hAnsi="Titillium"/>
          <w:color w:val="000000"/>
          <w:sz w:val="21"/>
          <w:szCs w:val="21"/>
          <w:rtl w:val="0"/>
        </w:rPr>
        <w:t xml:space="preserve"> le seguenti misure di </w:t>
      </w:r>
      <w:r w:rsidDel="00000000" w:rsidR="00000000" w:rsidRPr="00000000">
        <w:rPr>
          <w:rFonts w:ascii="Titillium" w:cs="Titillium" w:eastAsia="Titillium" w:hAnsi="Titillium"/>
          <w:i w:val="1"/>
          <w:color w:val="000000"/>
          <w:sz w:val="21"/>
          <w:szCs w:val="21"/>
          <w:rtl w:val="0"/>
        </w:rPr>
        <w:t xml:space="preserve">self-cleaning</w:t>
      </w:r>
      <w:r w:rsidDel="00000000" w:rsidR="00000000" w:rsidRPr="00000000">
        <w:rPr>
          <w:rFonts w:ascii="Titillium" w:cs="Titillium" w:eastAsia="Titillium" w:hAnsi="Titillium"/>
          <w:color w:val="000000"/>
          <w:sz w:val="21"/>
          <w:szCs w:val="21"/>
          <w:rtl w:val="0"/>
        </w:rPr>
        <w:t xml:space="preserve">, ai sensi dell’art. 96, commi da 2 a 6, del Codice __________________________________________________________________________, di inserire la relazione illustrativa delle misure di </w:t>
      </w:r>
      <w:r w:rsidDel="00000000" w:rsidR="00000000" w:rsidRPr="00000000">
        <w:rPr>
          <w:rFonts w:ascii="Titillium" w:cs="Titillium" w:eastAsia="Titillium" w:hAnsi="Titillium"/>
          <w:i w:val="1"/>
          <w:color w:val="000000"/>
          <w:sz w:val="21"/>
          <w:szCs w:val="21"/>
          <w:rtl w:val="0"/>
        </w:rPr>
        <w:t xml:space="preserve">self cleaning</w:t>
      </w:r>
      <w:r w:rsidDel="00000000" w:rsidR="00000000" w:rsidRPr="00000000">
        <w:rPr>
          <w:rFonts w:ascii="Titillium" w:cs="Titillium" w:eastAsia="Titillium" w:hAnsi="Titillium"/>
          <w:color w:val="000000"/>
          <w:sz w:val="21"/>
          <w:szCs w:val="21"/>
          <w:rtl w:val="0"/>
        </w:rPr>
        <w:t xml:space="preserve"> adottate all’interno del Fascicolo Virtuale dell’Operatore Economico (FVOE) e di indicare nel DGUE il riferimento al documento inserito nell’FVOE.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essere stato impossibilitato ad adottare </w:t>
      </w:r>
      <w:r w:rsidDel="00000000" w:rsidR="00000000" w:rsidRPr="00000000">
        <w:rPr>
          <w:rFonts w:ascii="Titillium" w:cs="Titillium" w:eastAsia="Titillium" w:hAnsi="Titillium"/>
          <w:color w:val="000000"/>
          <w:sz w:val="21"/>
          <w:szCs w:val="21"/>
          <w:rtl w:val="0"/>
        </w:rPr>
        <w:t xml:space="preserve">misure di </w:t>
      </w:r>
      <w:r w:rsidDel="00000000" w:rsidR="00000000" w:rsidRPr="00000000">
        <w:rPr>
          <w:rFonts w:ascii="Titillium" w:cs="Titillium" w:eastAsia="Titillium" w:hAnsi="Titillium"/>
          <w:i w:val="1"/>
          <w:color w:val="000000"/>
          <w:sz w:val="21"/>
          <w:szCs w:val="21"/>
          <w:rtl w:val="0"/>
        </w:rPr>
        <w:t xml:space="preserve">self cleaning</w:t>
      </w:r>
      <w:r w:rsidDel="00000000" w:rsidR="00000000" w:rsidRPr="00000000">
        <w:rPr>
          <w:rFonts w:ascii="Titillium" w:cs="Titillium" w:eastAsia="Titillium" w:hAnsi="Titillium"/>
          <w:color w:val="000000"/>
          <w:sz w:val="21"/>
          <w:szCs w:val="21"/>
          <w:rtl w:val="0"/>
        </w:rPr>
        <w:t xml:space="preserve"> per i seguenti motivi _______________________ e di impegnarsi ad adottare misure idonee e a comunicare tempestivamente le</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stesse alla Stazione appaltante e comunque prima dell’aggiudicazione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BA">
      <w:pPr>
        <w:numPr>
          <w:ilvl w:val="0"/>
          <w:numId w:val="4"/>
        </w:numPr>
        <w:tabs>
          <w:tab w:val="left" w:leader="none" w:pos="-142"/>
          <w:tab w:val="left" w:leader="none" w:pos="142"/>
        </w:tabs>
        <w:spacing w:line="276" w:lineRule="auto"/>
        <w:ind w:left="0" w:hanging="425"/>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con riferimento alla domanda di partecipazione:</w:t>
      </w:r>
    </w:p>
    <w:p w:rsidR="00000000" w:rsidDel="00000000" w:rsidP="00000000" w:rsidRDefault="00000000" w:rsidRPr="00000000" w14:paraId="000000BB">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non partecipare</w:t>
      </w:r>
      <w:r w:rsidDel="00000000" w:rsidR="00000000" w:rsidRPr="00000000">
        <w:rPr>
          <w:rFonts w:ascii="Titillium" w:cs="Titillium" w:eastAsia="Titillium" w:hAnsi="Titillium"/>
          <w:sz w:val="21"/>
          <w:szCs w:val="21"/>
          <w:rtl w:val="0"/>
        </w:rPr>
        <w:t xml:space="preserve"> in forma singola/associata e come ausiliaria di altro concorrente che sia ricorso all’avvalimento per migliorare la propria offerta;</w:t>
      </w:r>
    </w:p>
    <w:p w:rsidR="00000000" w:rsidDel="00000000" w:rsidP="00000000" w:rsidRDefault="00000000" w:rsidRPr="00000000" w14:paraId="000000BC">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non partecipare</w:t>
      </w:r>
      <w:r w:rsidDel="00000000" w:rsidR="00000000" w:rsidRPr="00000000">
        <w:rPr>
          <w:rFonts w:ascii="Titillium" w:cs="Titillium" w:eastAsia="Titillium" w:hAnsi="Titillium"/>
          <w:sz w:val="21"/>
          <w:szCs w:val="21"/>
          <w:rtl w:val="0"/>
        </w:rPr>
        <w:t xml:space="preserve"> a più di un Consorzio Stabile;</w:t>
      </w:r>
    </w:p>
    <w:p w:rsidR="00000000" w:rsidDel="00000000" w:rsidP="00000000" w:rsidRDefault="00000000" w:rsidRPr="00000000" w14:paraId="000000BD">
      <w:pPr>
        <w:numPr>
          <w:ilvl w:val="0"/>
          <w:numId w:val="3"/>
        </w:numPr>
        <w:tabs>
          <w:tab w:val="left" w:leader="none" w:pos="-142"/>
          <w:tab w:val="left" w:leader="none" w:pos="142"/>
        </w:tabs>
        <w:spacing w:line="276"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sz w:val="21"/>
          <w:szCs w:val="21"/>
          <w:rtl w:val="0"/>
        </w:rPr>
        <w:t xml:space="preserve">di partecipare</w:t>
      </w:r>
      <w:r w:rsidDel="00000000" w:rsidR="00000000" w:rsidRPr="00000000">
        <w:rPr>
          <w:rFonts w:ascii="Titillium" w:cs="Titillium" w:eastAsia="Titillium" w:hAnsi="Titillium"/>
          <w:sz w:val="21"/>
          <w:szCs w:val="21"/>
          <w:rtl w:val="0"/>
        </w:rPr>
        <w:t xml:space="preserve"> alla medesima gara contemporaneamente in forme diverse (individuale e associata, in più forme associate, in forma singola e quale consorziato esecutore di un consorzio)</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b w:val="1"/>
          <w:color w:val="000000"/>
          <w:sz w:val="21"/>
          <w:szCs w:val="21"/>
          <w:u w:val="single"/>
        </w:rPr>
      </w:pPr>
      <w:r w:rsidDel="00000000" w:rsidR="00000000" w:rsidRPr="00000000">
        <w:rPr>
          <w:rFonts w:ascii="Titillium" w:cs="Titillium" w:eastAsia="Titillium" w:hAnsi="Titillium"/>
          <w:sz w:val="21"/>
          <w:szCs w:val="21"/>
          <w:rtl w:val="0"/>
        </w:rPr>
        <w:t xml:space="preserve">       </w:t>
      </w:r>
      <w:r w:rsidDel="00000000" w:rsidR="00000000" w:rsidRPr="00000000">
        <w:rPr>
          <w:rFonts w:ascii="Titillium" w:cs="Titillium" w:eastAsia="Titillium" w:hAnsi="Titillium"/>
          <w:b w:val="1"/>
          <w:color w:val="000000"/>
          <w:sz w:val="21"/>
          <w:szCs w:val="21"/>
          <w:u w:val="single"/>
          <w:rtl w:val="0"/>
        </w:rPr>
        <w:t xml:space="preserve">compilare una delle due opzioni</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ab/>
        <w:tab/>
        <w:t xml:space="preserve"> </w:t>
      </w:r>
      <w:sdt>
        <w:sdtPr>
          <w:tag w:val="goog_rdk_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Titillium" w:cs="Titillium" w:eastAsia="Titillium" w:hAnsi="Titillium"/>
          <w:sz w:val="21"/>
          <w:szCs w:val="21"/>
          <w:rtl w:val="0"/>
        </w:rPr>
        <w:t xml:space="preserve"> SI (</w:t>
      </w:r>
      <w:r w:rsidDel="00000000" w:rsidR="00000000" w:rsidRPr="00000000">
        <w:rPr>
          <w:rFonts w:ascii="Titillium" w:cs="Titillium" w:eastAsia="Titillium" w:hAnsi="Titillium"/>
          <w:i w:val="1"/>
          <w:sz w:val="21"/>
          <w:szCs w:val="21"/>
          <w:rtl w:val="0"/>
        </w:rPr>
        <w:t xml:space="preserve">in tal caso specificare le forme della partecipazione e inserire nel FVOE idonea documentazione </w:t>
        <w:tab/>
        <w:tab/>
        <w:t xml:space="preserve"> con la quale dimostrare che la circostanza non abbia influito sulla gara, né sia idonea a incidere sulla </w:t>
        <w:tab/>
        <w:tab/>
        <w:t xml:space="preserve"> capacità di rispettare gli obblighi contrattuali</w:t>
      </w:r>
      <w:r w:rsidDel="00000000" w:rsidR="00000000" w:rsidRPr="00000000">
        <w:rPr>
          <w:rFonts w:ascii="Titillium" w:cs="Titillium" w:eastAsia="Titillium" w:hAnsi="Titillium"/>
          <w:sz w:val="21"/>
          <w:szCs w:val="21"/>
          <w:rtl w:val="0"/>
        </w:rPr>
        <w:t xml:space="preserve">) _________________________</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42"/>
          <w:tab w:val="left" w:leader="none" w:pos="284"/>
        </w:tabs>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ab/>
        <w:tab/>
        <w:t xml:space="preserve"> </w:t>
      </w:r>
      <w:sdt>
        <w:sdtPr>
          <w:tag w:val="goog_rdk_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Titillium" w:cs="Titillium" w:eastAsia="Titillium" w:hAnsi="Titillium"/>
          <w:sz w:val="21"/>
          <w:szCs w:val="21"/>
          <w:rtl w:val="0"/>
        </w:rPr>
        <w:t xml:space="preserve"> NO</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142"/>
          <w:tab w:val="left" w:leader="none" w:pos="284"/>
        </w:tabs>
        <w:spacing w:line="276" w:lineRule="auto"/>
        <w:ind w:left="144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remunerativa</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l’offerta economica presentata</w:t>
      </w:r>
      <w:r w:rsidDel="00000000" w:rsidR="00000000" w:rsidRPr="00000000">
        <w:rPr>
          <w:rFonts w:ascii="Titillium" w:cs="Titillium" w:eastAsia="Titillium" w:hAnsi="Titillium"/>
          <w:color w:val="000000"/>
          <w:sz w:val="21"/>
          <w:szCs w:val="21"/>
          <w:rtl w:val="0"/>
        </w:rPr>
        <w:t xml:space="preserve"> giacché per la sua formulazione ha preso atto e tenuto conto:</w:t>
      </w:r>
    </w:p>
    <w:p w:rsidR="00000000" w:rsidDel="00000000" w:rsidP="00000000" w:rsidRDefault="00000000" w:rsidRPr="00000000" w14:paraId="000000C3">
      <w:pPr>
        <w:numPr>
          <w:ilvl w:val="0"/>
          <w:numId w:val="5"/>
        </w:numPr>
        <w:pBdr>
          <w:top w:space="0" w:sz="0" w:val="nil"/>
          <w:left w:space="0" w:sz="0" w:val="nil"/>
          <w:bottom w:space="0" w:sz="0" w:val="nil"/>
          <w:right w:space="0" w:sz="0" w:val="nil"/>
          <w:between w:space="0" w:sz="0" w:val="nil"/>
        </w:pBdr>
        <w:spacing w:line="276" w:lineRule="auto"/>
        <w:ind w:left="284" w:hanging="284.00000000000006"/>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delle condizioni contrattuali e degli oneri compresi quelli eventuali relativi al CCNL di categoria, in materia di sicurezza, di assicurazione, di condizioni di lavoro e di previdenza e assistenza in vigore nei luoghi dove devono essere svolte le forniture;</w:t>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pacing w:line="276" w:lineRule="auto"/>
        <w:ind w:left="284" w:hanging="284.00000000000006"/>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di tutte le circostanze generali, particolari e locali, nessuna esclusa ed eccettuata, che possono avere influito o influire sia sulla prestazione della fornitura, sia sulla determinazione della propria offerta;</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6">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applicare</w:t>
      </w:r>
      <w:r w:rsidDel="00000000" w:rsidR="00000000" w:rsidRPr="00000000">
        <w:rPr>
          <w:rFonts w:ascii="Titillium" w:cs="Titillium" w:eastAsia="Titillium" w:hAnsi="Titillium"/>
          <w:color w:val="000000"/>
          <w:sz w:val="21"/>
          <w:szCs w:val="21"/>
          <w:rtl w:val="0"/>
        </w:rPr>
        <w:t xml:space="preserve"> ai dipendenti impiegati per l’affidamento in parola il seguente C.C.N.L. ______________________________, avente codice alfanumerico numerico unico ______________</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applicare</w:t>
      </w:r>
      <w:r w:rsidDel="00000000" w:rsidR="00000000" w:rsidRPr="00000000">
        <w:rPr>
          <w:rFonts w:ascii="Titillium" w:cs="Titillium" w:eastAsia="Titillium" w:hAnsi="Titillium"/>
          <w:color w:val="000000"/>
          <w:sz w:val="21"/>
          <w:szCs w:val="21"/>
          <w:rtl w:val="0"/>
        </w:rPr>
        <w:t xml:space="preserve"> le disposizioni in materia di sicurezza sul lavoro e antinfortunistica di cui al D. Lgs. n. 81/2008; </w:t>
      </w:r>
    </w:p>
    <w:p w:rsidR="00000000" w:rsidDel="00000000" w:rsidP="00000000" w:rsidRDefault="00000000" w:rsidRPr="00000000" w14:paraId="000000C9">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C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 </w:t>
      </w:r>
      <w:r w:rsidDel="00000000" w:rsidR="00000000" w:rsidRPr="00000000">
        <w:rPr>
          <w:rFonts w:ascii="Titillium" w:cs="Titillium" w:eastAsia="Titillium" w:hAnsi="Titillium"/>
          <w:color w:val="000000"/>
          <w:sz w:val="21"/>
          <w:szCs w:val="21"/>
          <w:rtl w:val="0"/>
        </w:rPr>
        <w:t xml:space="preserve">a non attuare nella presente gara intese e/o pratiche restrittive della concorrenza e del mercato vietate ai sensi della normativa applicabile;</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con riferimento all’art. 53, comma 16-ter, del D. Lgs. 165/2001</w:t>
      </w:r>
      <w:r w:rsidDel="00000000" w:rsidR="00000000" w:rsidRPr="00000000">
        <w:rPr>
          <w:rFonts w:ascii="Titillium" w:cs="Titillium" w:eastAsia="Titillium" w:hAnsi="Titillium"/>
          <w:color w:val="000000"/>
          <w:sz w:val="21"/>
          <w:szCs w:val="21"/>
          <w:rtl w:val="0"/>
        </w:rPr>
        <w:t xml:space="preserve"> (Clausola di “</w:t>
      </w:r>
      <w:r w:rsidDel="00000000" w:rsidR="00000000" w:rsidRPr="00000000">
        <w:rPr>
          <w:rFonts w:ascii="Titillium" w:cs="Titillium" w:eastAsia="Titillium" w:hAnsi="Titillium"/>
          <w:i w:val="1"/>
          <w:color w:val="000000"/>
          <w:sz w:val="21"/>
          <w:szCs w:val="21"/>
          <w:rtl w:val="0"/>
        </w:rPr>
        <w:t xml:space="preserve">pantouflage</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2"/>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non aver conferito incarichi professionali né concluso alcun contratto di lavoro subordinato o autonomo ad ex-dipendenti che hanno cessato il rapporto di lavoro con INAF da meno di tre anni i quali, negli ultimi tre anni di servizio, hanno esercitato poteri autoritativi o negoziali per conto dell’INAF medesimo;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3"/>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avere conferito incarichi professionali e concluso contratti di lavoro subordinato o autonomo ad ex dipendenti dell’INAF che hanno cessato il rapporto di lavoro da meno di tre anni i quali, negli ultimi tre anni di servizio, non hanno esercitato poteri autoritativi o negoziali per conto dell’INAF medesimo;</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sdt>
        <w:sdtPr>
          <w:tag w:val="goog_rdk_4"/>
        </w:sdtPr>
        <w:sdtContent>
          <w:r w:rsidDel="00000000" w:rsidR="00000000" w:rsidRPr="00000000">
            <w:rPr>
              <w:rFonts w:ascii="Arial Unicode MS" w:cs="Arial Unicode MS" w:eastAsia="Arial Unicode MS" w:hAnsi="Arial Unicode MS"/>
              <w:color w:val="000000"/>
              <w:sz w:val="21"/>
              <w:szCs w:val="21"/>
              <w:rtl w:val="0"/>
            </w:rPr>
            <w:t xml:space="preserve">☐</w:t>
          </w:r>
        </w:sdtContent>
      </w:sdt>
      <w:r w:rsidDel="00000000" w:rsidR="00000000" w:rsidRPr="00000000">
        <w:rPr>
          <w:rFonts w:ascii="Titillium" w:cs="Titillium" w:eastAsia="Titillium" w:hAnsi="Titillium"/>
          <w:color w:val="000000"/>
          <w:sz w:val="21"/>
          <w:szCs w:val="21"/>
          <w:rtl w:val="0"/>
        </w:rPr>
        <w:t xml:space="preserve"> di avere conferito incarichi professionali e concluso contratti di lavoro subordinato o autonomo ad ex dipendenti dell’INAF dopo tre anni da quando gli stessi hanno cessato il rapporto di lavoro con il INAF medesimo e quindi nel rispetto delle previsioni di legge;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fob9te" w:id="4"/>
      <w:bookmarkEnd w:id="4"/>
      <w:r w:rsidDel="00000000" w:rsidR="00000000" w:rsidRPr="00000000">
        <w:rPr>
          <w:rFonts w:ascii="Titillium" w:cs="Titillium" w:eastAsia="Titillium" w:hAnsi="Titillium"/>
          <w:b w:val="1"/>
          <w:color w:val="000000"/>
          <w:sz w:val="21"/>
          <w:szCs w:val="21"/>
          <w:rtl w:val="0"/>
        </w:rPr>
        <w:t xml:space="preserve">di accettare, senza condizione o riserva alcuna, tutte le norme e disposizioni contenute nella documentazione gara e di rendersi disponibile a dare immediato avvio all'esecuzione delle prestazioni, nei casi di urgenza</w:t>
      </w:r>
      <w:r w:rsidDel="00000000" w:rsidR="00000000" w:rsidRPr="00000000">
        <w:rPr>
          <w:rFonts w:ascii="Titillium" w:cs="Titillium" w:eastAsia="Titillium" w:hAnsi="Titillium"/>
          <w:color w:val="000000"/>
          <w:sz w:val="21"/>
          <w:szCs w:val="21"/>
          <w:rtl w:val="0"/>
        </w:rPr>
        <w:t xml:space="preserve"> e comunque ove ritenuto necessario in relazione alla particolare tipologia dell'oggetto delle prestazioni stesse, anche nelle more della stipula del contratto;</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espressamente che la Stazione Appaltante si riserva la facoltà di differire la stipula del contratto, entro i termini previsti dalla vigente normativa, a partire dalla data di aggiudicazione. La Stazione Appaltante si riserva di revocare la procedura ai sensi della legge 241/1990, art. 21-quinquies, per sopravvenuti motivi di pubblico interesse ovvero nel caso di mutamento della situazione di fatto non prevedibile al momento dell’adozione del provvedimento.</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D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il Patto di integrità</w:t>
      </w:r>
      <w:r w:rsidDel="00000000" w:rsidR="00000000" w:rsidRPr="00000000">
        <w:rPr>
          <w:rFonts w:ascii="Titillium" w:cs="Titillium" w:eastAsia="Titillium" w:hAnsi="Titillium"/>
          <w:color w:val="000000"/>
          <w:sz w:val="21"/>
          <w:szCs w:val="21"/>
          <w:rtl w:val="0"/>
        </w:rPr>
        <w:t xml:space="preserve"> previsto dal Piano Integrato di attività</w:t>
      </w:r>
      <w:r w:rsidDel="00000000" w:rsidR="00000000" w:rsidRPr="00000000">
        <w:rPr>
          <w:rFonts w:ascii="Titillium" w:cs="Titillium" w:eastAsia="Titillium" w:hAnsi="Titillium"/>
          <w:i w:val="1"/>
          <w:color w:val="000000"/>
          <w:sz w:val="21"/>
          <w:szCs w:val="21"/>
          <w:rtl w:val="0"/>
        </w:rPr>
        <w:t xml:space="preserve"> </w:t>
      </w:r>
      <w:r w:rsidDel="00000000" w:rsidR="00000000" w:rsidRPr="00000000">
        <w:rPr>
          <w:rFonts w:ascii="Titillium" w:cs="Titillium" w:eastAsia="Titillium" w:hAnsi="Titillium"/>
          <w:color w:val="000000"/>
          <w:sz w:val="21"/>
          <w:szCs w:val="21"/>
          <w:rtl w:val="0"/>
        </w:rPr>
        <w:t xml:space="preserve">ed organizzazione 2023-2025 dello “</w:t>
      </w:r>
      <w:r w:rsidDel="00000000" w:rsidR="00000000" w:rsidRPr="00000000">
        <w:rPr>
          <w:rFonts w:ascii="Titillium" w:cs="Titillium" w:eastAsia="Titillium" w:hAnsi="Titillium"/>
          <w:i w:val="1"/>
          <w:color w:val="000000"/>
          <w:sz w:val="21"/>
          <w:szCs w:val="21"/>
          <w:rtl w:val="0"/>
        </w:rPr>
        <w:t xml:space="preserve">Istituto Nazionale di Astrofisica</w:t>
      </w:r>
      <w:r w:rsidDel="00000000" w:rsidR="00000000" w:rsidRPr="00000000">
        <w:rPr>
          <w:rFonts w:ascii="Titillium" w:cs="Titillium" w:eastAsia="Titillium" w:hAnsi="Titillium"/>
          <w:color w:val="000000"/>
          <w:sz w:val="21"/>
          <w:szCs w:val="21"/>
          <w:rtl w:val="0"/>
        </w:rPr>
        <w:t xml:space="preserve">” approvato con Delibera del Consiglio di Amministrazione del 31 marzo 2023, numero 19 allegato alla documentazione di gara (art. 1, comma 17, della L. n. 190/2012), obbligandosi ad assumere gli impegni previsti dal medesimo patto;</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edotto</w:t>
      </w:r>
      <w:r w:rsidDel="00000000" w:rsidR="00000000" w:rsidRPr="00000000">
        <w:rPr>
          <w:rFonts w:ascii="Titillium" w:cs="Titillium" w:eastAsia="Titillium" w:hAnsi="Titillium"/>
          <w:color w:val="000000"/>
          <w:sz w:val="21"/>
          <w:szCs w:val="21"/>
          <w:rtl w:val="0"/>
        </w:rPr>
        <w:t xml:space="preserve"> degli obblighi derivanti dal </w:t>
      </w:r>
      <w:r w:rsidDel="00000000" w:rsidR="00000000" w:rsidRPr="00000000">
        <w:rPr>
          <w:rFonts w:ascii="Titillium" w:cs="Titillium" w:eastAsia="Titillium" w:hAnsi="Titillium"/>
          <w:b w:val="1"/>
          <w:color w:val="000000"/>
          <w:sz w:val="21"/>
          <w:szCs w:val="21"/>
          <w:rtl w:val="0"/>
        </w:rPr>
        <w:t xml:space="preserve">Codice di comportamento</w:t>
      </w:r>
      <w:r w:rsidDel="00000000" w:rsidR="00000000" w:rsidRPr="00000000">
        <w:rPr>
          <w:rFonts w:ascii="Titillium" w:cs="Titillium" w:eastAsia="Titillium" w:hAnsi="Titillium"/>
          <w:color w:val="000000"/>
          <w:sz w:val="21"/>
          <w:szCs w:val="21"/>
          <w:rtl w:val="0"/>
        </w:rPr>
        <w:t xml:space="preserve"> adottato dalla Stazione appaltante con Delibera del Consiglio di Amministrazione numero 18 del 4 novembre 2015 reperibile al link: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hyperlink r:id="rId8">
        <w:r w:rsidDel="00000000" w:rsidR="00000000" w:rsidRPr="00000000">
          <w:rPr>
            <w:rFonts w:ascii="Titillium" w:cs="Titillium" w:eastAsia="Titillium" w:hAnsi="Titillium"/>
            <w:color w:val="0563c1"/>
            <w:sz w:val="21"/>
            <w:szCs w:val="21"/>
            <w:u w:val="single"/>
            <w:rtl w:val="0"/>
          </w:rPr>
          <w:t xml:space="preserve">http://www.inaf.it/it/amministrazione-trasparente/disposizioni-generali/atti-generali/CodicedicomportamentoIstitutoNazionalediAstrofisicapdf.pdf/view</w:t>
        </w:r>
      </w:hyperlink>
      <w:r w:rsidDel="00000000" w:rsidR="00000000" w:rsidRPr="00000000">
        <w:rPr>
          <w:rFonts w:ascii="Titillium" w:cs="Titillium" w:eastAsia="Titillium" w:hAnsi="Titillium"/>
          <w:color w:val="000000"/>
          <w:sz w:val="21"/>
          <w:szCs w:val="21"/>
          <w:rtl w:val="0"/>
        </w:rPr>
        <w:t xml:space="preserve"> e di impegnarsi, in caso di aggiudicazione, ad osservare e a far osservare ai propri dipendenti e collaboratori, per quanto applicabile, il suddetto codice, pena la risoluzione del contratto;</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A">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4d34og8" w:id="5"/>
      <w:bookmarkEnd w:id="5"/>
      <w:r w:rsidDel="00000000" w:rsidR="00000000" w:rsidRPr="00000000">
        <w:rPr>
          <w:rFonts w:ascii="Titillium" w:cs="Titillium" w:eastAsia="Titillium" w:hAnsi="Titillium"/>
          <w:b w:val="1"/>
          <w:color w:val="000000"/>
          <w:sz w:val="21"/>
          <w:szCs w:val="21"/>
          <w:rtl w:val="0"/>
        </w:rPr>
        <w:t xml:space="preserve">[EVENTUALE per gli operatori economici non residenti e privi di stabile organizzazione in Italia]</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di impegnarsi ad uniformarsi, in caso di aggiudicazione, alla disciplina di cui agli articoli 17, comma 2, e 53, comma 3 del D.P.R. 633/1972 e a comunicare alla stazione appaltante la nomina del proprio rappresentante fiscale, nelle forme di legge;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D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non residenti e privi di stabile organizzazione in Italia]</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domicilio fiscale ____________, il codice fiscale ___________, la partita IVA _______________, l’indirizzo di posta elettronica certificata o strumento analogo negli altri Stati Membri, ai fini delle comunicazioni di cui all’art. 90 del Codice ________________________________________________;</w:t>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0">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aventi sede, residenza o domicilio nei paesi inseriti nelle c.d. “</w:t>
      </w:r>
      <w:r w:rsidDel="00000000" w:rsidR="00000000" w:rsidRPr="00000000">
        <w:rPr>
          <w:rFonts w:ascii="Titillium" w:cs="Titillium" w:eastAsia="Titillium" w:hAnsi="Titillium"/>
          <w:b w:val="1"/>
          <w:i w:val="1"/>
          <w:color w:val="000000"/>
          <w:sz w:val="21"/>
          <w:szCs w:val="21"/>
          <w:rtl w:val="0"/>
        </w:rPr>
        <w:t xml:space="preserve">black list</w:t>
      </w:r>
      <w:r w:rsidDel="00000000" w:rsidR="00000000" w:rsidRPr="00000000">
        <w:rPr>
          <w:rFonts w:ascii="Titillium" w:cs="Titillium" w:eastAsia="Titillium" w:hAnsi="Titillium"/>
          <w:b w:val="1"/>
          <w:color w:val="000000"/>
          <w:sz w:val="21"/>
          <w:szCs w:val="21"/>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tillium" w:cs="Titillium" w:eastAsia="Titillium" w:hAnsi="Titillium"/>
          <w:b w:val="1"/>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rtl w:val="0"/>
        </w:rPr>
        <w:t xml:space="preserve">di essere in possesso dell’autorizzazione in corso di validità rilasciata ai sensi del D.M. 14 dicembre 2010 del Ministero dell’economia e delle finanze ai sensi (art. 37 del D.L. 78/2010, convertito in L. 122/2010) </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28" w:firstLine="0"/>
        <w:rPr>
          <w:rFonts w:ascii="Titillium" w:cs="Titillium" w:eastAsia="Titillium" w:hAnsi="Titillium"/>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28" w:firstLine="0"/>
        <w:rPr>
          <w:rFonts w:ascii="Titillium" w:cs="Titillium" w:eastAsia="Titillium" w:hAnsi="Titillium"/>
          <w:i w:val="1"/>
          <w:color w:val="000000"/>
          <w:sz w:val="21"/>
          <w:szCs w:val="21"/>
        </w:rPr>
      </w:pPr>
      <w:r w:rsidDel="00000000" w:rsidR="00000000" w:rsidRPr="00000000">
        <w:rPr>
          <w:rFonts w:ascii="Courier New" w:cs="Courier New" w:eastAsia="Courier New" w:hAnsi="Courier New"/>
          <w:color w:val="000000"/>
          <w:sz w:val="21"/>
          <w:szCs w:val="21"/>
          <w:rtl w:val="0"/>
        </w:rPr>
        <w:t xml:space="preserve">□</w:t>
      </w:r>
      <w:r w:rsidDel="00000000" w:rsidR="00000000" w:rsidRPr="00000000">
        <w:rPr>
          <w:rFonts w:ascii="Titillium" w:cs="Titillium" w:eastAsia="Titillium" w:hAnsi="Titillium"/>
          <w:color w:val="000000"/>
          <w:sz w:val="21"/>
          <w:szCs w:val="21"/>
          <w:rtl w:val="0"/>
        </w:rPr>
        <w:t xml:space="preserve"> di aver presentato domanda di autorizzazione ai sensi dell’art. 1 comma 3 del D.M. 14.12.2010 e allega copia conforme dell’istanza di autorizzazione inviata al Ministero;</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E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accettare</w:t>
      </w:r>
      <w:r w:rsidDel="00000000" w:rsidR="00000000" w:rsidRPr="00000000">
        <w:rPr>
          <w:rFonts w:ascii="Titillium" w:cs="Titillium" w:eastAsia="Titillium" w:hAnsi="Titillium"/>
          <w:color w:val="000000"/>
          <w:sz w:val="21"/>
          <w:szCs w:val="21"/>
          <w:rtl w:val="0"/>
        </w:rPr>
        <w:t xml:space="preserve"> la seguente clausola riportata nel disciplinare di gara, nel paragrafo dedicato alle “COMUNICAZIONI”: “</w:t>
      </w:r>
      <w:r w:rsidDel="00000000" w:rsidR="00000000" w:rsidRPr="00000000">
        <w:rPr>
          <w:rFonts w:ascii="Titillium" w:cs="Titillium" w:eastAsia="Titillium" w:hAnsi="Titillium"/>
          <w:i w:val="1"/>
          <w:color w:val="000000"/>
          <w:sz w:val="21"/>
          <w:szCs w:val="21"/>
          <w:rtl w:val="0"/>
        </w:rPr>
        <w:t xml:space="preserve">Tutte le comunicazioni e gli scambi di informazioni tra stazione appaltante e operatori economici sono eseguiti in conformità con quanto disposto dal decreto legislativo n. 82/05, tramite la Piattaforma di approvvigionamento digitale e sono accessibili nella Sezione Comunicazioni. Per quanto non previsto dalla stessa Piattaforma,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 autorizzare </w:t>
      </w:r>
      <w:r w:rsidDel="00000000" w:rsidR="00000000" w:rsidRPr="00000000">
        <w:rPr>
          <w:rFonts w:ascii="Titillium" w:cs="Titillium" w:eastAsia="Titillium" w:hAnsi="Titillium"/>
          <w:color w:val="000000"/>
          <w:sz w:val="21"/>
          <w:szCs w:val="21"/>
          <w:rtl w:val="0"/>
        </w:rPr>
        <w:t xml:space="preserve">la Stazione appaltante a trasmettere ogni comunicazione ai sensi dell’art. 29 del D. lgs. n. 36/2023 tramite le piattaforme dell’ecosistema nazionale di cui all’art. 22 del predetto decreto e, per quanto non previsto dalle predette piattaforme, mediante l’utilizzo del domicilio digitale;</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720" w:firstLine="0"/>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0E9">
      <w:pPr>
        <w:numPr>
          <w:ilvl w:val="0"/>
          <w:numId w:val="4"/>
        </w:numPr>
        <w:pBdr>
          <w:top w:space="0" w:sz="0" w:val="nil"/>
          <w:left w:space="0" w:sz="0" w:val="nil"/>
          <w:bottom w:space="0" w:sz="0" w:val="nil"/>
          <w:right w:space="0" w:sz="0" w:val="nil"/>
          <w:between w:space="0" w:sz="0" w:val="nil"/>
        </w:pBdr>
        <w:spacing w:line="276" w:lineRule="auto"/>
        <w:ind w:left="28"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il proprio domicilio digitale</w:t>
      </w:r>
      <w:r w:rsidDel="00000000" w:rsidR="00000000" w:rsidRPr="00000000">
        <w:rPr>
          <w:rFonts w:ascii="Titillium" w:cs="Titillium" w:eastAsia="Titillium" w:hAnsi="Titillium"/>
          <w:color w:val="000000"/>
          <w:sz w:val="21"/>
          <w:szCs w:val="21"/>
          <w:rtl w:val="0"/>
        </w:rPr>
        <w:t xml:space="preserve"> presente negli indici di cui agli articoli 6-bis e 6-ter del D. lgs. n. 82/05 è il seguente: _______________________________________________________________</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[solo in caso di concorrenti aventi sede in altri Stati membri]</w:t>
      </w:r>
      <w:r w:rsidDel="00000000" w:rsidR="00000000" w:rsidRPr="00000000">
        <w:rPr>
          <w:rFonts w:ascii="Titillium" w:cs="Titillium" w:eastAsia="Titillium" w:hAnsi="Titillium"/>
          <w:color w:val="000000"/>
          <w:sz w:val="21"/>
          <w:szCs w:val="21"/>
          <w:rtl w:val="0"/>
        </w:rPr>
        <w:t xml:space="preserve"> </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il seguente domicilio</w:t>
      </w:r>
      <w:r w:rsidDel="00000000" w:rsidR="00000000" w:rsidRPr="00000000">
        <w:rPr>
          <w:rFonts w:ascii="Titillium" w:cs="Titillium" w:eastAsia="Titillium" w:hAnsi="Titillium"/>
          <w:color w:val="000000"/>
          <w:sz w:val="21"/>
          <w:szCs w:val="21"/>
          <w:rtl w:val="0"/>
        </w:rPr>
        <w:t xml:space="preserve"> fiscale ____________ </w:t>
      </w:r>
      <w:r w:rsidDel="00000000" w:rsidR="00000000" w:rsidRPr="00000000">
        <w:rPr>
          <w:rFonts w:ascii="Titillium" w:cs="Titillium" w:eastAsia="Titillium" w:hAnsi="Titillium"/>
          <w:sz w:val="21"/>
          <w:szCs w:val="21"/>
          <w:rtl w:val="0"/>
        </w:rPr>
        <w:t xml:space="preserve">e </w:t>
      </w:r>
      <w:r w:rsidDel="00000000" w:rsidR="00000000" w:rsidRPr="00000000">
        <w:rPr>
          <w:rFonts w:ascii="Titillium" w:cs="Titillium" w:eastAsia="Titillium" w:hAnsi="Titillium"/>
          <w:color w:val="000000"/>
          <w:sz w:val="21"/>
          <w:szCs w:val="21"/>
          <w:rtl w:val="0"/>
        </w:rPr>
        <w:t xml:space="preserve">l’indirizzo di servizio elettronico di recapito certificato qualificato ai sensi del Regolamento eIDAS ________________ e, per le comunicazioni che avvengono tramite la Piattaforma, elegge domicilio nell’apposita Sezione Comunicazioni;</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28"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che i dati di cui al punto precedente sono stati riportati</w:t>
      </w:r>
      <w:r w:rsidDel="00000000" w:rsidR="00000000" w:rsidRPr="00000000">
        <w:rPr>
          <w:rFonts w:ascii="Titillium" w:cs="Titillium" w:eastAsia="Titillium" w:hAnsi="Titillium"/>
          <w:color w:val="000000"/>
          <w:sz w:val="21"/>
          <w:szCs w:val="21"/>
          <w:rtl w:val="0"/>
        </w:rPr>
        <w:t xml:space="preserve">, nella piattaforma telematica in fase di registrazione sulla piattaforma medesima per la presentazione dell’offerta, e sono, pertanto, aggiornati, validi ed efficaci ai fini di tutte le comunicazioni che la Stazione Appaltante effettuerà;</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28"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EF">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consapevole</w:t>
      </w:r>
      <w:r w:rsidDel="00000000" w:rsidR="00000000" w:rsidRPr="00000000">
        <w:rPr>
          <w:rFonts w:ascii="Titillium" w:cs="Titillium" w:eastAsia="Titillium" w:hAnsi="Titillium"/>
          <w:color w:val="000000"/>
          <w:sz w:val="21"/>
          <w:szCs w:val="21"/>
          <w:rtl w:val="0"/>
        </w:rPr>
        <w:t xml:space="preserve"> che, nei casi di cui all’articolo 36, commi 1 e 2, del Codice, l’offerta presentata sarà resa disponibile mediante accesso diretto alla piattaforma</w:t>
      </w:r>
      <w:r w:rsidDel="00000000" w:rsidR="00000000" w:rsidRPr="00000000">
        <w:rPr>
          <w:rFonts w:ascii="Titillium" w:cs="Titillium" w:eastAsia="Titillium" w:hAnsi="Titillium"/>
          <w:b w:val="1"/>
          <w:color w:val="000000"/>
          <w:sz w:val="21"/>
          <w:szCs w:val="21"/>
          <w:rtl w:val="0"/>
        </w:rPr>
        <w:t xml:space="preserve">.</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567"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autorizzare la Stazione appaltante</w:t>
      </w:r>
      <w:r w:rsidDel="00000000" w:rsidR="00000000" w:rsidRPr="00000000">
        <w:rPr>
          <w:rFonts w:ascii="Titillium" w:cs="Titillium" w:eastAsia="Titillium" w:hAnsi="Titillium"/>
          <w:color w:val="000000"/>
          <w:sz w:val="21"/>
          <w:szCs w:val="21"/>
          <w:rtl w:val="0"/>
        </w:rPr>
        <w:t xml:space="preserve"> ad assicurare l’accesso alla documentazione presentata per la partecipazione alla gara, su richiesta di altri concorrenti, nel rispetto della normativa del Codice relativa all’accesso agli atti;</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bookmarkStart w:colFirst="0" w:colLast="0" w:name="_heading=h.2s8eyo1" w:id="6"/>
      <w:bookmarkEnd w:id="6"/>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non autorizzare</w:t>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b w:val="1"/>
          <w:color w:val="000000"/>
          <w:sz w:val="21"/>
          <w:szCs w:val="21"/>
          <w:rtl w:val="0"/>
        </w:rPr>
        <w:t xml:space="preserve">la stazione appaltante a rilasciare copia dell’offerta tecnica</w:t>
      </w:r>
      <w:r w:rsidDel="00000000" w:rsidR="00000000" w:rsidRPr="00000000">
        <w:rPr>
          <w:rFonts w:ascii="Titillium" w:cs="Titillium" w:eastAsia="Titillium" w:hAnsi="Titillium"/>
          <w:b w:val="1"/>
          <w:color w:val="000000"/>
          <w:sz w:val="21"/>
          <w:szCs w:val="21"/>
          <w:vertAlign w:val="superscript"/>
        </w:rPr>
        <w:footnoteReference w:customMarkFollows="0" w:id="3"/>
      </w:r>
      <w:r w:rsidDel="00000000" w:rsidR="00000000" w:rsidRPr="00000000">
        <w:rPr>
          <w:rFonts w:ascii="Titillium" w:cs="Titillium" w:eastAsia="Titillium" w:hAnsi="Titillium"/>
          <w:b w:val="1"/>
          <w:color w:val="000000"/>
          <w:sz w:val="21"/>
          <w:szCs w:val="21"/>
          <w:rtl w:val="0"/>
        </w:rPr>
        <w:t xml:space="preserve"> e delle spiegazioni</w:t>
      </w:r>
      <w:r w:rsidDel="00000000" w:rsidR="00000000" w:rsidRPr="00000000">
        <w:rPr>
          <w:rFonts w:ascii="Titillium" w:cs="Titillium" w:eastAsia="Titillium" w:hAnsi="Titillium"/>
          <w:color w:val="000000"/>
          <w:sz w:val="21"/>
          <w:szCs w:val="21"/>
          <w:rtl w:val="0"/>
        </w:rPr>
        <w:t xml:space="preserve"> che saranno eventualmente richieste in sede di verifica delle offerte anomale, in quanto coperte da segreto tecnico/commerciale, ed è consapevole che tale dichiarazione, denominata “Segreti tecnici e commerciali”, dovrà essere adeguatamente motivata e comprovata ai sensi della normativa relativa all’accesso agli atti di cui agli artt. art. 35 e 36 D. lgs. n. 36/2023;</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w:t>
      </w:r>
      <w:r w:rsidDel="00000000" w:rsidR="00000000" w:rsidRPr="00000000">
        <w:rPr>
          <w:rFonts w:ascii="Titillium" w:cs="Titillium" w:eastAsia="Titillium" w:hAnsi="Titillium"/>
          <w:color w:val="000000"/>
          <w:sz w:val="21"/>
          <w:szCs w:val="21"/>
          <w:rtl w:val="0"/>
        </w:rPr>
        <w:t xml:space="preserve"> a non divulgare notizie e fatti relativi alla Stazione appaltante dei quali sia venuta a conoscenza nell’esecuzione delle prestazioni oggetto dell’appalto;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 posizione di regolarità contributiva</w:t>
      </w:r>
      <w:r w:rsidDel="00000000" w:rsidR="00000000" w:rsidRPr="00000000">
        <w:rPr>
          <w:rFonts w:ascii="Titillium" w:cs="Titillium" w:eastAsia="Titillium" w:hAnsi="Titillium"/>
          <w:color w:val="000000"/>
          <w:sz w:val="21"/>
          <w:szCs w:val="21"/>
          <w:rtl w:val="0"/>
        </w:rPr>
        <w:t xml:space="preserve"> di cui all’art. 2 del D.L., n. 210/2002, convertito dalla L. n. 266/2002; </w:t>
      </w:r>
    </w:p>
    <w:p w:rsidR="00000000" w:rsidDel="00000000" w:rsidP="00000000" w:rsidRDefault="00000000" w:rsidRPr="00000000" w14:paraId="000000F8">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non trovarsi</w:t>
      </w:r>
      <w:r w:rsidDel="00000000" w:rsidR="00000000" w:rsidRPr="00000000">
        <w:rPr>
          <w:rFonts w:ascii="Titillium" w:cs="Titillium" w:eastAsia="Titillium" w:hAnsi="Titillium"/>
          <w:color w:val="000000"/>
          <w:sz w:val="21"/>
          <w:szCs w:val="21"/>
          <w:rtl w:val="0"/>
        </w:rPr>
        <w:t xml:space="preserve"> in alcuna delle cause di esclusione di cui all’art. 9, c. 2, lett. c), D. Lgs. n. 231/2001 (</w:t>
      </w:r>
      <w:r w:rsidDel="00000000" w:rsidR="00000000" w:rsidRPr="00000000">
        <w:rPr>
          <w:rFonts w:ascii="Titillium" w:cs="Titillium" w:eastAsia="Titillium" w:hAnsi="Titillium"/>
          <w:i w:val="1"/>
          <w:color w:val="000000"/>
          <w:sz w:val="21"/>
          <w:szCs w:val="21"/>
          <w:rtl w:val="0"/>
        </w:rPr>
        <w:t xml:space="preserve">Disciplina della responsabilità amministrativa degli enti</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a piena conoscenza e di assolvere</w:t>
      </w:r>
      <w:r w:rsidDel="00000000" w:rsidR="00000000" w:rsidRPr="00000000">
        <w:rPr>
          <w:rFonts w:ascii="Titillium" w:cs="Titillium" w:eastAsia="Titillium" w:hAnsi="Titillium"/>
          <w:color w:val="000000"/>
          <w:sz w:val="21"/>
          <w:szCs w:val="21"/>
          <w:rtl w:val="0"/>
        </w:rPr>
        <w:t xml:space="preserve"> agli obblighi sulla tracciabilità dei flussi finanziari di cui all’art. 3 L. n. 136/2010;</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F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bookmarkStart w:colFirst="0" w:colLast="0" w:name="_heading=h.17dp8vu" w:id="7"/>
      <w:bookmarkEnd w:id="7"/>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non essersi avvalso</w:t>
      </w:r>
      <w:r w:rsidDel="00000000" w:rsidR="00000000" w:rsidRPr="00000000">
        <w:rPr>
          <w:rFonts w:ascii="Titillium" w:cs="Titillium" w:eastAsia="Titillium" w:hAnsi="Titillium"/>
          <w:color w:val="000000"/>
          <w:sz w:val="21"/>
          <w:szCs w:val="21"/>
          <w:rtl w:val="0"/>
        </w:rPr>
        <w:t xml:space="preserve"> dei piani individuali di emersione di cui alla L. n. 383/2001, come modificata dalla legge n. 266/2002,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oppure</w:t>
      </w:r>
      <w:r w:rsidDel="00000000" w:rsidR="00000000" w:rsidRPr="00000000">
        <w:rPr>
          <w:rFonts w:ascii="Titillium" w:cs="Titillium" w:eastAsia="Titillium" w:hAnsi="Titillium"/>
          <w:i w:val="1"/>
          <w:color w:val="000000"/>
          <w:sz w:val="21"/>
          <w:szCs w:val="21"/>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di essersi avvalso</w:t>
      </w:r>
      <w:r w:rsidDel="00000000" w:rsidR="00000000" w:rsidRPr="00000000">
        <w:rPr>
          <w:rFonts w:ascii="Titillium" w:cs="Titillium" w:eastAsia="Titillium" w:hAnsi="Titillium"/>
          <w:color w:val="000000"/>
          <w:sz w:val="21"/>
          <w:szCs w:val="21"/>
          <w:rtl w:val="0"/>
        </w:rPr>
        <w:t xml:space="preserve"> dei piani individuali di emersione di cui alla L. n. 383/2001, come modificata dalla legge n. 266/2002, ma che il periodo di emersione si è concluso;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101">
      <w:pPr>
        <w:numPr>
          <w:ilvl w:val="0"/>
          <w:numId w:val="4"/>
        </w:numPr>
        <w:pBdr>
          <w:top w:space="0" w:sz="0" w:val="nil"/>
          <w:left w:space="0" w:sz="0" w:val="nil"/>
          <w:bottom w:space="0" w:sz="0" w:val="nil"/>
          <w:right w:space="0" w:sz="0" w:val="nil"/>
          <w:between w:space="0" w:sz="0" w:val="nil"/>
        </w:pBdr>
        <w:ind w:left="28" w:hanging="425"/>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impegnarsi</w:t>
      </w:r>
      <w:r w:rsidDel="00000000" w:rsidR="00000000" w:rsidRPr="00000000">
        <w:rPr>
          <w:rFonts w:ascii="Titillium" w:cs="Titillium" w:eastAsia="Titillium" w:hAnsi="Titillium"/>
          <w:color w:val="000000"/>
          <w:sz w:val="21"/>
          <w:szCs w:val="21"/>
          <w:rtl w:val="0"/>
        </w:rPr>
        <w:t xml:space="preserve"> a comunicare tempestivamente alla Stazione appaltante ogni modificazione che dovesse intervenire negli assetti societari, nella struttura d’impresa e negli organismi tecnici e amministrativi, ai sensi dell’art. 83 del D. lgs. n. 159/2011 (c.d. Codice delle leggi antimafia);</w:t>
      </w:r>
    </w:p>
    <w:p w:rsidR="00000000" w:rsidDel="00000000" w:rsidP="00000000" w:rsidRDefault="00000000" w:rsidRPr="00000000" w14:paraId="00000102">
      <w:pPr>
        <w:rPr>
          <w:rFonts w:ascii="Titillium" w:cs="Titillium" w:eastAsia="Titillium" w:hAnsi="Titillium"/>
          <w:b w:val="1"/>
          <w:color w:val="000000"/>
          <w:sz w:val="21"/>
          <w:szCs w:val="21"/>
        </w:rPr>
      </w:pPr>
      <w:r w:rsidDel="00000000" w:rsidR="00000000" w:rsidRPr="00000000">
        <w:rPr>
          <w:rtl w:val="0"/>
        </w:rPr>
      </w:r>
    </w:p>
    <w:p w:rsidR="00000000" w:rsidDel="00000000" w:rsidP="00000000" w:rsidRDefault="00000000" w:rsidRPr="00000000" w14:paraId="00000103">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informato</w:t>
      </w:r>
      <w:r w:rsidDel="00000000" w:rsidR="00000000" w:rsidRPr="00000000">
        <w:rPr>
          <w:rFonts w:ascii="Titillium" w:cs="Titillium" w:eastAsia="Titillium" w:hAnsi="Titillium"/>
          <w:color w:val="000000"/>
          <w:sz w:val="21"/>
          <w:szCs w:val="21"/>
          <w:rtl w:val="0"/>
        </w:rPr>
        <w:t xml:space="preserve">, ai sensi e per gli effetti dell’art. 13 del Regolamento UE n. 2016/679 che i dati personali raccolti saranno trattati, anche con strumenti informatici, esclusivamente nell’ambito della presente gara, nonché dell’esistenza dei diritti di cui agli articoli da 15 a 22 del Regolamento medesimo;</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720" w:firstLine="0"/>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aver preso visione e di accettare</w:t>
      </w:r>
      <w:r w:rsidDel="00000000" w:rsidR="00000000" w:rsidRPr="00000000">
        <w:rPr>
          <w:rFonts w:ascii="Titillium" w:cs="Titillium" w:eastAsia="Titillium" w:hAnsi="Titillium"/>
          <w:color w:val="000000"/>
          <w:sz w:val="21"/>
          <w:szCs w:val="21"/>
          <w:rtl w:val="0"/>
        </w:rPr>
        <w:t xml:space="preserve"> il trattamento dei dati personali di cui al Disciplinare di gara;</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7">
      <w:pPr>
        <w:keepNext w:val="1"/>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bookmarkStart w:colFirst="0" w:colLast="0" w:name="_heading=h.3znysh7" w:id="8"/>
      <w:bookmarkEnd w:id="8"/>
      <w:r w:rsidDel="00000000" w:rsidR="00000000" w:rsidRPr="00000000">
        <w:rPr>
          <w:rFonts w:ascii="Titillium" w:cs="Titillium" w:eastAsia="Titillium" w:hAnsi="Titillium"/>
          <w:b w:val="1"/>
          <w:color w:val="000000"/>
          <w:sz w:val="21"/>
          <w:szCs w:val="21"/>
          <w:rtl w:val="0"/>
        </w:rPr>
        <w:t xml:space="preserve">[EVENTUALE per gli operatori economici ammessi al concordato preventivo con continuità aziendale di cui all’art. 372 del D. lgs. n. 14/2019]</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ad integrazione di quanto indicato nella parte III, sez. C, lett. d) del DGUE, i seguenti estremi del provvedimento di ammissione al concordato e del provvedimento di autorizzazione a partecipare alle gare ______________ rilasciati dal Tribunale di _____________ nonché dichiara che le altre imprese aderenti al raggruppamento non sono assoggettate ad una procedura concorsuale ai sensi dell’articolo 95, commi 4 e 5, del decreto legislativo n. 14/2019;</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A">
      <w:pPr>
        <w:keepNext w:val="1"/>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per gli operatori economici che hanno presentato domanda di ammissione al concordato preventivo con continuità aziendale senza che sia stato ancora emesso il decreto di ammissione] </w:t>
      </w:r>
      <w:r w:rsidDel="00000000" w:rsidR="00000000" w:rsidRPr="00000000">
        <w:rPr>
          <w:rFonts w:ascii="Titillium" w:cs="Titillium" w:eastAsia="Titillium" w:hAnsi="Titillium"/>
          <w:color w:val="000000"/>
          <w:sz w:val="21"/>
          <w:szCs w:val="21"/>
          <w:rtl w:val="0"/>
        </w:rPr>
        <w:t xml:space="preserve">che:</w:t>
      </w: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pacing w:line="276" w:lineRule="auto"/>
        <w:ind w:left="0" w:hanging="360"/>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gli estremi del deposito della domanda di ammissione sono i seguenti: prot.n. ________ del _____________ presentata al _____________________;</w:t>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spacing w:line="276" w:lineRule="auto"/>
        <w:ind w:left="0" w:hanging="360"/>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provvedimento di autorizzazione a partecipare alle gare rilasciato dal Tribunale di _____________________ è il seguente: prot.n. ________ del _____________;</w:t>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line="276" w:lineRule="auto"/>
        <w:ind w:left="0" w:hanging="360"/>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il soggetto di cui intende avvalersi, ai sensi dell'articolo 372 del D. lgs. 14/2019, è il seguente: ____________________;</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i w:val="1"/>
          <w:color w:val="000000"/>
          <w:sz w:val="21"/>
          <w:szCs w:val="21"/>
        </w:rPr>
      </w:pPr>
      <w:r w:rsidDel="00000000" w:rsidR="00000000" w:rsidRPr="00000000">
        <w:rPr>
          <w:rFonts w:ascii="Titillium" w:cs="Titillium" w:eastAsia="Titillium" w:hAnsi="Titillium"/>
          <w:b w:val="1"/>
          <w:color w:val="000000"/>
          <w:sz w:val="21"/>
          <w:szCs w:val="21"/>
          <w:rtl w:val="0"/>
        </w:rPr>
        <w:t xml:space="preserve">[EVENTUALE in caso di sottoposizione a sequestro o confisca ai sensi dell'articolo 240-bis del Codice penale o degli artt. 20 e 24 del D. lgs. n. 159/2011 e affidamento a custode o amministratore giudiziario o finanziario]</w:t>
      </w:r>
      <w:r w:rsidDel="00000000" w:rsidR="00000000" w:rsidRPr="00000000">
        <w:rPr>
          <w:rtl w:val="0"/>
        </w:rPr>
      </w:r>
    </w:p>
    <w:p w:rsidR="00000000" w:rsidDel="00000000" w:rsidP="00000000" w:rsidRDefault="00000000" w:rsidRPr="00000000" w14:paraId="00000110">
      <w:pP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 che è stato emesso il provvedimento __________ in data _______ da parte di ______</w:t>
      </w:r>
    </w:p>
    <w:p w:rsidR="00000000" w:rsidDel="00000000" w:rsidP="00000000" w:rsidRDefault="00000000" w:rsidRPr="00000000" w14:paraId="00000111">
      <w:pPr>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2">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essere iscritto</w:t>
      </w:r>
      <w:r w:rsidDel="00000000" w:rsidR="00000000" w:rsidRPr="00000000">
        <w:rPr>
          <w:rFonts w:ascii="Titillium" w:cs="Titillium" w:eastAsia="Titillium" w:hAnsi="Titillium"/>
          <w:color w:val="000000"/>
          <w:sz w:val="21"/>
          <w:szCs w:val="21"/>
          <w:rtl w:val="0"/>
        </w:rPr>
        <w:t xml:space="preserve"> nell’elenco dei fornitori, prestatori di servizi ed esecutori non soggetti a tentativo di infiltrazione mafiosa (c.d. white list) istituito presso la Prefettura della provincia di __________________________;</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ovvero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aver presentato in data</w:t>
      </w:r>
      <w:r w:rsidDel="00000000" w:rsidR="00000000" w:rsidRPr="00000000">
        <w:rPr>
          <w:rFonts w:ascii="Titillium" w:cs="Titillium" w:eastAsia="Titillium" w:hAnsi="Titillium"/>
          <w:color w:val="000000"/>
          <w:sz w:val="21"/>
          <w:szCs w:val="21"/>
          <w:rtl w:val="0"/>
        </w:rPr>
        <w:t xml:space="preserve"> _______________ domanda di iscrizione nell’elenco dei fornitori, prestatori di servizi ed esecutori non soggetti a tentativo di infiltrazione mafiosa (c.d. white list) istituito presso la Prefettura della provincia di _______________________;</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b w:val="1"/>
          <w:i w:val="1"/>
          <w:color w:val="000000"/>
          <w:sz w:val="21"/>
          <w:szCs w:val="21"/>
        </w:rPr>
      </w:pPr>
      <w:r w:rsidDel="00000000" w:rsidR="00000000" w:rsidRPr="00000000">
        <w:rPr>
          <w:rFonts w:ascii="Titillium" w:cs="Titillium" w:eastAsia="Titillium" w:hAnsi="Titillium"/>
          <w:b w:val="1"/>
          <w:i w:val="1"/>
          <w:color w:val="000000"/>
          <w:sz w:val="21"/>
          <w:szCs w:val="21"/>
          <w:rtl w:val="0"/>
        </w:rPr>
        <w:t xml:space="preserve">ovvero</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Courier New" w:cs="Courier New" w:eastAsia="Courier New" w:hAnsi="Courier New"/>
          <w:b w:val="1"/>
          <w:color w:val="000000"/>
          <w:sz w:val="21"/>
          <w:szCs w:val="21"/>
          <w:rtl w:val="0"/>
        </w:rPr>
        <w:t xml:space="preserve">□</w:t>
      </w:r>
      <w:r w:rsidDel="00000000" w:rsidR="00000000" w:rsidRPr="00000000">
        <w:rPr>
          <w:rFonts w:ascii="Titillium" w:cs="Titillium" w:eastAsia="Titillium" w:hAnsi="Titillium"/>
          <w:b w:val="1"/>
          <w:color w:val="000000"/>
          <w:sz w:val="21"/>
          <w:szCs w:val="21"/>
          <w:rtl w:val="0"/>
        </w:rPr>
        <w:t xml:space="preserve"> </w:t>
      </w:r>
      <w:r w:rsidDel="00000000" w:rsidR="00000000" w:rsidRPr="00000000">
        <w:rPr>
          <w:rFonts w:ascii="Titillium" w:cs="Titillium" w:eastAsia="Titillium" w:hAnsi="Titillium"/>
          <w:color w:val="000000"/>
          <w:sz w:val="21"/>
          <w:szCs w:val="21"/>
          <w:u w:val="single"/>
          <w:rtl w:val="0"/>
        </w:rPr>
        <w:t xml:space="preserve">di non essere tenuto ad iscriversi</w:t>
      </w:r>
      <w:r w:rsidDel="00000000" w:rsidR="00000000" w:rsidRPr="00000000">
        <w:rPr>
          <w:rFonts w:ascii="Titillium" w:cs="Titillium" w:eastAsia="Titillium" w:hAnsi="Titillium"/>
          <w:color w:val="000000"/>
          <w:sz w:val="21"/>
          <w:szCs w:val="21"/>
          <w:rtl w:val="0"/>
        </w:rPr>
        <w:t xml:space="preserve"> all’elenco dei fornitori, prestatori di servizi ed esecutori non soggetti a tentativo di infiltrazione mafiosa (c.d. white list);</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[EVENTUALE nel caso di allegazione all’offerta telematica di copie conformi di documenti in formato elettronico, nei casi in cui tale modalità di copia sia ammessa]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le copie di tutti i documenti allegati all’offerta in formato elettronico sono state formate a norma dell’art. 22, co</w:t>
      </w:r>
      <w:r w:rsidDel="00000000" w:rsidR="00000000" w:rsidRPr="00000000">
        <w:rPr>
          <w:rFonts w:ascii="Titillium" w:cs="Titillium" w:eastAsia="Titillium" w:hAnsi="Titillium"/>
          <w:sz w:val="21"/>
          <w:szCs w:val="21"/>
          <w:rtl w:val="0"/>
        </w:rPr>
        <w:t xml:space="preserve">mma</w:t>
      </w:r>
      <w:r w:rsidDel="00000000" w:rsidR="00000000" w:rsidRPr="00000000">
        <w:rPr>
          <w:rFonts w:ascii="Titillium" w:cs="Titillium" w:eastAsia="Titillium" w:hAnsi="Titillium"/>
          <w:color w:val="000000"/>
          <w:sz w:val="21"/>
          <w:szCs w:val="21"/>
          <w:rtl w:val="0"/>
        </w:rPr>
        <w:t xml:space="preserve"> 3, del </w:t>
      </w:r>
      <w:r w:rsidDel="00000000" w:rsidR="00000000" w:rsidRPr="00000000">
        <w:rPr>
          <w:rFonts w:ascii="Titillium" w:cs="Titillium" w:eastAsia="Titillium" w:hAnsi="Titillium"/>
          <w:sz w:val="21"/>
          <w:szCs w:val="21"/>
          <w:rtl w:val="0"/>
        </w:rPr>
        <w:t xml:space="preserve">D</w:t>
      </w:r>
      <w:r w:rsidDel="00000000" w:rsidR="00000000" w:rsidRPr="00000000">
        <w:rPr>
          <w:rFonts w:ascii="Titillium" w:cs="Titillium" w:eastAsia="Titillium" w:hAnsi="Titillium"/>
          <w:color w:val="000000"/>
          <w:sz w:val="21"/>
          <w:szCs w:val="21"/>
          <w:rtl w:val="0"/>
        </w:rPr>
        <w:t xml:space="preserve">. lgs. n. 82/2005 </w:t>
      </w:r>
      <w:r w:rsidDel="00000000" w:rsidR="00000000" w:rsidRPr="00000000">
        <w:rPr>
          <w:rFonts w:ascii="Titillium" w:cs="Titillium" w:eastAsia="Titillium" w:hAnsi="Titillium"/>
          <w:i w:val="1"/>
          <w:color w:val="000000"/>
          <w:sz w:val="21"/>
          <w:szCs w:val="21"/>
          <w:rtl w:val="0"/>
        </w:rPr>
        <w:t xml:space="preserve">(Copie informatiche di documenti analogici)</w:t>
      </w:r>
      <w:r w:rsidDel="00000000" w:rsidR="00000000" w:rsidRPr="00000000">
        <w:rPr>
          <w:rFonts w:ascii="Titillium" w:cs="Titillium" w:eastAsia="Titillium" w:hAnsi="Titillium"/>
          <w:color w:val="000000"/>
          <w:sz w:val="21"/>
          <w:szCs w:val="21"/>
          <w:rtl w:val="0"/>
        </w:rPr>
        <w:t xml:space="preserve"> e/o dell’art. 23-bis del d.lgs. 82/2005 </w:t>
      </w:r>
      <w:r w:rsidDel="00000000" w:rsidR="00000000" w:rsidRPr="00000000">
        <w:rPr>
          <w:rFonts w:ascii="Titillium" w:cs="Titillium" w:eastAsia="Titillium" w:hAnsi="Titillium"/>
          <w:i w:val="1"/>
          <w:color w:val="000000"/>
          <w:sz w:val="21"/>
          <w:szCs w:val="21"/>
          <w:rtl w:val="0"/>
        </w:rPr>
        <w:t xml:space="preserve">(Duplicati e copie informatiche di documenti informatici</w:t>
      </w:r>
      <w:r w:rsidDel="00000000" w:rsidR="00000000" w:rsidRPr="00000000">
        <w:rPr>
          <w:rFonts w:ascii="Titillium" w:cs="Titillium" w:eastAsia="Titillium" w:hAnsi="Titillium"/>
          <w:color w:val="000000"/>
          <w:sz w:val="21"/>
          <w:szCs w:val="21"/>
          <w:rtl w:val="0"/>
        </w:rPr>
        <w:t xml:space="preserve">) e nel rispetto delle regole tecniche di cui all’art. 71 del medesimo </w:t>
      </w:r>
      <w:r w:rsidDel="00000000" w:rsidR="00000000" w:rsidRPr="00000000">
        <w:rPr>
          <w:rFonts w:ascii="Titillium" w:cs="Titillium" w:eastAsia="Titillium" w:hAnsi="Titillium"/>
          <w:sz w:val="21"/>
          <w:szCs w:val="21"/>
          <w:rtl w:val="0"/>
        </w:rPr>
        <w:t xml:space="preserve">D</w:t>
      </w:r>
      <w:r w:rsidDel="00000000" w:rsidR="00000000" w:rsidRPr="00000000">
        <w:rPr>
          <w:rFonts w:ascii="Titillium" w:cs="Titillium" w:eastAsia="Titillium" w:hAnsi="Titillium"/>
          <w:color w:val="000000"/>
          <w:sz w:val="21"/>
          <w:szCs w:val="21"/>
          <w:rtl w:val="0"/>
        </w:rPr>
        <w:t xml:space="preserve">. lgs. n. 82/2005;</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0" w:firstLine="0"/>
        <w:rPr>
          <w:rFonts w:ascii="Titillium" w:cs="Titillium" w:eastAsia="Titillium" w:hAnsi="Titillium"/>
          <w:color w:val="000000"/>
          <w:sz w:val="21"/>
          <w:szCs w:val="21"/>
        </w:rPr>
      </w:pPr>
      <w:bookmarkStart w:colFirst="0" w:colLast="0" w:name="_heading=h.2et92p0" w:id="9"/>
      <w:bookmarkEnd w:id="9"/>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ind w:left="567" w:firstLine="0"/>
        <w:rPr>
          <w:rFonts w:ascii="Titillium" w:cs="Titillium" w:eastAsia="Titillium" w:hAnsi="Titillium"/>
          <w:sz w:val="21"/>
          <w:szCs w:val="21"/>
        </w:rPr>
      </w:pPr>
      <w:bookmarkStart w:colFirst="0" w:colLast="0" w:name="_heading=h.erknvbkihl2g" w:id="10"/>
      <w:bookmarkEnd w:id="10"/>
      <w:r w:rsidDel="00000000" w:rsidR="00000000" w:rsidRPr="00000000">
        <w:rPr>
          <w:rtl w:val="0"/>
        </w:rPr>
      </w:r>
    </w:p>
    <w:p w:rsidR="00000000" w:rsidDel="00000000" w:rsidP="00000000" w:rsidRDefault="00000000" w:rsidRPr="00000000" w14:paraId="0000011C">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essere in regola</w:t>
      </w:r>
      <w:r w:rsidDel="00000000" w:rsidR="00000000" w:rsidRPr="00000000">
        <w:rPr>
          <w:rFonts w:ascii="Titillium" w:cs="Titillium" w:eastAsia="Titillium" w:hAnsi="Titillium"/>
          <w:color w:val="000000"/>
          <w:sz w:val="21"/>
          <w:szCs w:val="21"/>
          <w:rtl w:val="0"/>
        </w:rPr>
        <w:t xml:space="preserve"> con le norme che disciplinano il diritto al lavoro dei disabili di cui alla L. n. 68/1999</w:t>
      </w:r>
      <w:r w:rsidDel="00000000" w:rsidR="00000000" w:rsidRPr="00000000">
        <w:rPr>
          <w:rFonts w:ascii="Titillium" w:cs="Titillium" w:eastAsia="Titillium" w:hAnsi="Titillium"/>
          <w:b w:val="1"/>
          <w:sz w:val="21"/>
          <w:szCs w:val="21"/>
          <w:vertAlign w:val="superscript"/>
        </w:rPr>
        <w:footnoteReference w:customMarkFollows="0" w:id="4"/>
      </w:r>
      <w:r w:rsidDel="00000000" w:rsidR="00000000" w:rsidRPr="00000000">
        <w:rPr>
          <w:rFonts w:ascii="Titillium" w:cs="Titillium" w:eastAsia="Titillium" w:hAnsi="Titillium"/>
          <w:sz w:val="21"/>
          <w:szCs w:val="21"/>
          <w:rtl w:val="0"/>
        </w:rPr>
        <w:t xml:space="preserve"> </w:t>
      </w:r>
      <w:r w:rsidDel="00000000" w:rsidR="00000000" w:rsidRPr="00000000">
        <w:rPr>
          <w:rFonts w:ascii="Titillium" w:cs="Titillium" w:eastAsia="Titillium" w:hAnsi="Titillium"/>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Norme per il diritto al lavoro dei disabili</w:t>
      </w:r>
      <w:r w:rsidDel="00000000" w:rsidR="00000000" w:rsidRPr="00000000">
        <w:rPr>
          <w:rFonts w:ascii="Titillium" w:cs="Titillium" w:eastAsia="Titillium" w:hAnsi="Titillium"/>
          <w:color w:val="000000"/>
          <w:sz w:val="21"/>
          <w:szCs w:val="21"/>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1F">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b w:val="1"/>
          <w:color w:val="000000"/>
          <w:sz w:val="21"/>
          <w:szCs w:val="21"/>
          <w:rtl w:val="0"/>
        </w:rPr>
        <w:t xml:space="preserve">di occupare</w:t>
      </w:r>
      <w:r w:rsidDel="00000000" w:rsidR="00000000" w:rsidRPr="00000000">
        <w:rPr>
          <w:rFonts w:ascii="Titillium" w:cs="Titillium" w:eastAsia="Titillium" w:hAnsi="Titillium"/>
          <w:color w:val="000000"/>
          <w:sz w:val="21"/>
          <w:szCs w:val="21"/>
          <w:rtl w:val="0"/>
        </w:rPr>
        <w:t xml:space="preserve"> un numero pari a ____ Dipendenti;</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il “</w:t>
      </w:r>
      <w:r w:rsidDel="00000000" w:rsidR="00000000" w:rsidRPr="00000000">
        <w:rPr>
          <w:rFonts w:ascii="Titillium" w:cs="Titillium" w:eastAsia="Titillium" w:hAnsi="Titillium"/>
          <w:b w:val="1"/>
          <w:color w:val="000000"/>
          <w:sz w:val="21"/>
          <w:szCs w:val="21"/>
          <w:rtl w:val="0"/>
        </w:rPr>
        <w:t xml:space="preserve">Titolare effettivo</w:t>
      </w:r>
      <w:r w:rsidDel="00000000" w:rsidR="00000000" w:rsidRPr="00000000">
        <w:rPr>
          <w:rFonts w:ascii="Titillium" w:cs="Titillium" w:eastAsia="Titillium" w:hAnsi="Titillium"/>
          <w:color w:val="000000"/>
          <w:sz w:val="21"/>
          <w:szCs w:val="21"/>
          <w:rtl w:val="0"/>
        </w:rPr>
        <w:t xml:space="preserve">”</w:t>
      </w:r>
      <w:r w:rsidDel="00000000" w:rsidR="00000000" w:rsidRPr="00000000">
        <w:rPr>
          <w:rFonts w:ascii="Titillium" w:cs="Titillium" w:eastAsia="Titillium" w:hAnsi="Titillium"/>
          <w:b w:val="1"/>
          <w:sz w:val="21"/>
          <w:szCs w:val="21"/>
          <w:vertAlign w:val="superscript"/>
        </w:rPr>
        <w:footnoteReference w:customMarkFollows="0" w:id="5"/>
      </w:r>
      <w:r w:rsidDel="00000000" w:rsidR="00000000" w:rsidRPr="00000000">
        <w:rPr>
          <w:rFonts w:ascii="Titillium" w:cs="Titillium" w:eastAsia="Titillium" w:hAnsi="Titillium"/>
          <w:color w:val="000000"/>
          <w:sz w:val="21"/>
          <w:szCs w:val="21"/>
          <w:rtl w:val="0"/>
        </w:rPr>
        <w:t xml:space="preserve"> </w:t>
      </w:r>
      <w:r w:rsidDel="00000000" w:rsidR="00000000" w:rsidRPr="00000000">
        <w:rPr>
          <w:rFonts w:ascii="Titillium" w:cs="Titillium" w:eastAsia="Titillium" w:hAnsi="Titillium"/>
          <w:i w:val="1"/>
          <w:color w:val="000000"/>
          <w:sz w:val="21"/>
          <w:szCs w:val="21"/>
          <w:rtl w:val="0"/>
        </w:rPr>
        <w:t xml:space="preserve">ex</w:t>
      </w:r>
      <w:r w:rsidDel="00000000" w:rsidR="00000000" w:rsidRPr="00000000">
        <w:rPr>
          <w:rFonts w:ascii="Titillium" w:cs="Titillium" w:eastAsia="Titillium" w:hAnsi="Titillium"/>
          <w:color w:val="000000"/>
          <w:sz w:val="21"/>
          <w:szCs w:val="21"/>
          <w:rtl w:val="0"/>
        </w:rPr>
        <w:t xml:space="preserve"> art. 22 Reg. UE n. 2021/241 in base al criterio di seguito evidenziato è ____________ nato/a a___________ il _______ a _______ C. F. __________ Residente ___________</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Titillium" w:cs="Titillium" w:eastAsia="Titillium" w:hAnsi="Titillium"/>
          <w:b w:val="1"/>
          <w:color w:val="000000"/>
          <w:sz w:val="21"/>
          <w:szCs w:val="21"/>
          <w:rtl w:val="0"/>
        </w:rPr>
        <w:t xml:space="preserve">Perché:</w:t>
      </w:r>
      <w:r w:rsidDel="00000000" w:rsidR="00000000" w:rsidRPr="00000000">
        <w:rPr>
          <w:rFonts w:ascii="Titillium" w:cs="Titillium" w:eastAsia="Titillium" w:hAnsi="Titillium"/>
          <w:i w:val="1"/>
          <w:color w:val="000000"/>
          <w:sz w:val="21"/>
          <w:szCs w:val="21"/>
          <w:rtl w:val="0"/>
        </w:rPr>
        <w:t xml:space="preserve"> [</w:t>
      </w:r>
      <w:r w:rsidDel="00000000" w:rsidR="00000000" w:rsidRPr="00000000">
        <w:rPr>
          <w:rFonts w:ascii="Titillium" w:cs="Titillium" w:eastAsia="Titillium" w:hAnsi="Titillium"/>
          <w:i w:val="1"/>
          <w:color w:val="000000"/>
          <w:sz w:val="21"/>
          <w:szCs w:val="21"/>
          <w:u w:val="single"/>
          <w:rtl w:val="0"/>
        </w:rPr>
        <w:t xml:space="preserve">compilare la sezione di interesse</w:t>
      </w:r>
      <w:r w:rsidDel="00000000" w:rsidR="00000000" w:rsidRPr="00000000">
        <w:rPr>
          <w:rFonts w:ascii="Titillium" w:cs="Titillium" w:eastAsia="Titillium" w:hAnsi="Titillium"/>
          <w:i w:val="1"/>
          <w:color w:val="000000"/>
          <w:sz w:val="21"/>
          <w:szCs w:val="21"/>
          <w:rtl w:val="0"/>
        </w:rPr>
        <w:t xml:space="preserve">]</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in possesso una partecipazione superiore al 25% del capitale sociale (</w:t>
      </w:r>
      <w:r w:rsidDel="00000000" w:rsidR="00000000" w:rsidRPr="00000000">
        <w:rPr>
          <w:rFonts w:ascii="Titillium" w:cs="Titillium" w:eastAsia="Titillium" w:hAnsi="Titillium"/>
          <w:i w:val="1"/>
          <w:color w:val="000000"/>
          <w:sz w:val="21"/>
          <w:szCs w:val="21"/>
          <w:u w:val="single"/>
          <w:rtl w:val="0"/>
        </w:rPr>
        <w:t xml:space="preserve">indicare la quota di partecipazione</w:t>
      </w:r>
      <w:r w:rsidDel="00000000" w:rsidR="00000000" w:rsidRPr="00000000">
        <w:rPr>
          <w:rFonts w:ascii="Titillium" w:cs="Titillium" w:eastAsia="Titillium" w:hAnsi="Titillium"/>
          <w:i w:val="1"/>
          <w:color w:val="000000"/>
          <w:sz w:val="21"/>
          <w:szCs w:val="21"/>
          <w:rtl w:val="0"/>
        </w:rPr>
        <w:t xml:space="preserve">) __________________________________________________________________________</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in possesso della maggioranza dei voti, ovvero in conseguenza di altri vincoli contrattuali [</w:t>
      </w:r>
      <w:r w:rsidDel="00000000" w:rsidR="00000000" w:rsidRPr="00000000">
        <w:rPr>
          <w:rFonts w:ascii="Titillium" w:cs="Titillium" w:eastAsia="Titillium" w:hAnsi="Titillium"/>
          <w:i w:val="1"/>
          <w:color w:val="000000"/>
          <w:sz w:val="21"/>
          <w:szCs w:val="21"/>
          <w:u w:val="single"/>
          <w:rtl w:val="0"/>
        </w:rPr>
        <w:t xml:space="preserve">specificare la circostanza</w:t>
      </w:r>
      <w:r w:rsidDel="00000000" w:rsidR="00000000" w:rsidRPr="00000000">
        <w:rPr>
          <w:rFonts w:ascii="Titillium" w:cs="Titillium" w:eastAsia="Titillium" w:hAnsi="Titillium"/>
          <w:i w:val="1"/>
          <w:color w:val="000000"/>
          <w:sz w:val="21"/>
          <w:szCs w:val="21"/>
          <w:rtl w:val="0"/>
        </w:rPr>
        <w:t xml:space="preserve">] ________________________________________________________________</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Courier New" w:cs="Courier New" w:eastAsia="Courier New" w:hAnsi="Courier New"/>
          <w:i w:val="1"/>
          <w:color w:val="000000"/>
          <w:sz w:val="21"/>
          <w:szCs w:val="21"/>
          <w:rtl w:val="0"/>
        </w:rPr>
        <w:t xml:space="preserve">□</w:t>
      </w:r>
      <w:r w:rsidDel="00000000" w:rsidR="00000000" w:rsidRPr="00000000">
        <w:rPr>
          <w:rFonts w:ascii="Titillium" w:cs="Titillium" w:eastAsia="Titillium" w:hAnsi="Titillium"/>
          <w:i w:val="1"/>
          <w:color w:val="000000"/>
          <w:sz w:val="21"/>
          <w:szCs w:val="21"/>
          <w:rtl w:val="0"/>
        </w:rPr>
        <w:t xml:space="preserve"> esercita poteri di amministrazione o direzione della società [</w:t>
      </w:r>
      <w:r w:rsidDel="00000000" w:rsidR="00000000" w:rsidRPr="00000000">
        <w:rPr>
          <w:rFonts w:ascii="Titillium" w:cs="Titillium" w:eastAsia="Titillium" w:hAnsi="Titillium"/>
          <w:i w:val="1"/>
          <w:color w:val="000000"/>
          <w:sz w:val="21"/>
          <w:szCs w:val="21"/>
          <w:u w:val="single"/>
          <w:rtl w:val="0"/>
        </w:rPr>
        <w:t xml:space="preserve">specificare la circostanza</w:t>
      </w:r>
      <w:r w:rsidDel="00000000" w:rsidR="00000000" w:rsidRPr="00000000">
        <w:rPr>
          <w:rFonts w:ascii="Titillium" w:cs="Titillium" w:eastAsia="Titillium" w:hAnsi="Titillium"/>
          <w:i w:val="1"/>
          <w:color w:val="000000"/>
          <w:sz w:val="21"/>
          <w:szCs w:val="21"/>
          <w:rtl w:val="0"/>
        </w:rPr>
        <w:t xml:space="preserve">]</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color w:val="000000"/>
          <w:sz w:val="21"/>
          <w:szCs w:val="21"/>
        </w:rPr>
      </w:pPr>
      <w:r w:rsidDel="00000000" w:rsidR="00000000" w:rsidRPr="00000000">
        <w:rPr>
          <w:rFonts w:ascii="Titillium" w:cs="Titillium" w:eastAsia="Titillium" w:hAnsi="Titillium"/>
          <w:i w:val="1"/>
          <w:color w:val="000000"/>
          <w:sz w:val="21"/>
          <w:szCs w:val="21"/>
          <w:rtl w:val="0"/>
        </w:rPr>
        <w:t xml:space="preserve">____________________________________________________________________</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128">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che </w:t>
      </w:r>
      <w:r w:rsidDel="00000000" w:rsidR="00000000" w:rsidRPr="00000000">
        <w:rPr>
          <w:rFonts w:ascii="Titillium" w:cs="Titillium" w:eastAsia="Titillium" w:hAnsi="Titillium"/>
          <w:b w:val="1"/>
          <w:color w:val="000000"/>
          <w:sz w:val="21"/>
          <w:szCs w:val="21"/>
          <w:rtl w:val="0"/>
        </w:rPr>
        <w:t xml:space="preserve">assumono il ruolo di “Titolari effettivi”</w:t>
      </w:r>
      <w:r w:rsidDel="00000000" w:rsidR="00000000" w:rsidRPr="00000000">
        <w:rPr>
          <w:rFonts w:ascii="Titillium" w:cs="Titillium" w:eastAsia="Titillium" w:hAnsi="Titillium"/>
          <w:color w:val="000000"/>
          <w:sz w:val="21"/>
          <w:szCs w:val="21"/>
          <w:rtl w:val="0"/>
        </w:rPr>
        <w:t xml:space="preserve"> ex art. 22 Reg. 241/2021 anche i seguenti soggetti: </w:t>
      </w:r>
    </w:p>
    <w:p w:rsidR="00000000" w:rsidDel="00000000" w:rsidP="00000000" w:rsidRDefault="00000000" w:rsidRPr="00000000" w14:paraId="00000129">
      <w:pPr>
        <w:numPr>
          <w:ilvl w:val="0"/>
          <w:numId w:val="2"/>
        </w:numPr>
        <w:pBdr>
          <w:top w:space="0" w:sz="0" w:val="nil"/>
          <w:left w:space="0" w:sz="0" w:val="nil"/>
          <w:bottom w:space="0" w:sz="0" w:val="nil"/>
          <w:right w:space="0" w:sz="0" w:val="nil"/>
          <w:between w:space="0" w:sz="0" w:val="nil"/>
        </w:pBdr>
        <w:tabs>
          <w:tab w:val="left" w:leader="none" w:pos="567"/>
          <w:tab w:val="right" w:leader="none" w:pos="9072"/>
        </w:tabs>
        <w:spacing w:line="276" w:lineRule="auto"/>
        <w:ind w:left="720" w:hanging="360"/>
        <w:rPr>
          <w:rFonts w:ascii="Titillium" w:cs="Titillium" w:eastAsia="Titillium" w:hAnsi="Titillium"/>
          <w:color w:val="000000"/>
          <w:sz w:val="21"/>
          <w:szCs w:val="21"/>
        </w:rPr>
      </w:pPr>
      <w:bookmarkStart w:colFirst="0" w:colLast="0" w:name="_heading=h.3rdcrjn" w:id="11"/>
      <w:bookmarkEnd w:id="11"/>
      <w:r w:rsidDel="00000000" w:rsidR="00000000" w:rsidRPr="00000000">
        <w:rPr>
          <w:rFonts w:ascii="Titillium" w:cs="Titillium" w:eastAsia="Titillium" w:hAnsi="Titillium"/>
          <w:color w:val="000000"/>
          <w:sz w:val="21"/>
          <w:szCs w:val="21"/>
          <w:rtl w:val="0"/>
        </w:rPr>
        <w:t xml:space="preserve">Cognome e Nome ______________ Luogo di nascita _____________ Data di nascita _______ Codice Fiscale: ______________ Residenza _____________</w: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567"/>
          <w:tab w:val="right" w:leader="none" w:pos="9072"/>
        </w:tabs>
        <w:spacing w:line="276" w:lineRule="auto"/>
        <w:ind w:left="720" w:hanging="360"/>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Cognome e Nome ______________ Luogo di nascita _____________ Data di nascita _______ Codice Fiscale: ______________ Residenza _____________</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[ripetere per ogni Titolare effettivo]</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spacing w:line="276" w:lineRule="auto"/>
        <w:ind w:left="0" w:hanging="425"/>
        <w:jc w:val="both"/>
        <w:rPr>
          <w:rFonts w:ascii="Titillium" w:cs="Titillium" w:eastAsia="Titillium" w:hAnsi="Titillium"/>
          <w:sz w:val="21"/>
          <w:szCs w:val="21"/>
        </w:rPr>
      </w:pPr>
      <w:bookmarkStart w:colFirst="0" w:colLast="0" w:name="_heading=h.26in1rg" w:id="12"/>
      <w:bookmarkEnd w:id="12"/>
      <w:r w:rsidDel="00000000" w:rsidR="00000000" w:rsidRPr="00000000">
        <w:rPr>
          <w:rFonts w:ascii="Titillium" w:cs="Titillium" w:eastAsia="Titillium" w:hAnsi="Titillium"/>
          <w:color w:val="000000"/>
          <w:sz w:val="21"/>
          <w:szCs w:val="21"/>
          <w:rtl w:val="0"/>
        </w:rPr>
        <w:t xml:space="preserve">che il/i Titolare/i Effettivo/i individuati si impegna/no a comunicare, rispetto agli elementi forniti in corso di gara, ogni successiva modifica ai fini dell’identificazione relativa al/ai titolare/i effettivo/i dell’Operatore economico. </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e data </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i w:val="1"/>
          <w:sz w:val="21"/>
          <w:szCs w:val="21"/>
        </w:rPr>
      </w:pPr>
      <w:r w:rsidDel="00000000" w:rsidR="00000000" w:rsidRPr="00000000">
        <w:rPr>
          <w:rFonts w:ascii="Titillium" w:cs="Titillium" w:eastAsia="Titillium" w:hAnsi="Titillium"/>
          <w:sz w:val="21"/>
          <w:szCs w:val="21"/>
          <w:rtl w:val="0"/>
        </w:rPr>
        <w:tab/>
        <w:tab/>
      </w:r>
      <w:r w:rsidDel="00000000" w:rsidR="00000000" w:rsidRPr="00000000">
        <w:rPr>
          <w:rFonts w:ascii="Titillium" w:cs="Titillium" w:eastAsia="Titillium" w:hAnsi="Titillium"/>
          <w:i w:val="1"/>
          <w:sz w:val="21"/>
          <w:szCs w:val="21"/>
          <w:rtl w:val="0"/>
        </w:rPr>
        <w:t xml:space="preserve">Firma elettronica qualificata/Firma digitale</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ind w:left="72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567"/>
          <w:tab w:val="right" w:leader="none" w:pos="9072"/>
        </w:tabs>
        <w:spacing w:after="120" w:line="276"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567"/>
          <w:tab w:val="right" w:leader="none" w:pos="9072"/>
        </w:tabs>
        <w:spacing w:line="276" w:lineRule="auto"/>
        <w:rPr>
          <w:rFonts w:ascii="Titillium" w:cs="Titillium" w:eastAsia="Titillium" w:hAnsi="Titillium"/>
          <w:color w:val="000000"/>
          <w:sz w:val="21"/>
          <w:szCs w:val="21"/>
        </w:rPr>
      </w:pPr>
      <w:r w:rsidDel="00000000" w:rsidR="00000000" w:rsidRPr="00000000">
        <w:rPr>
          <w:rtl w:val="0"/>
        </w:rPr>
      </w:r>
    </w:p>
    <w:sectPr>
      <w:headerReference r:id="rId9" w:type="default"/>
      <w:footerReference r:id="rId10" w:type="default"/>
      <w:pgSz w:h="16840" w:w="11900" w:orient="portrait"/>
      <w:pgMar w:bottom="1134" w:top="2098" w:left="1134" w:right="703" w:header="23" w:footer="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Arial Unicode MS"/>
  <w:font w:name="Titillium"/>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819"/>
        <w:tab w:val="right" w:leader="none" w:pos="9638"/>
      </w:tabs>
      <w:ind w:left="-1134" w:firstLine="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color w:val="000000"/>
          <w:sz w:val="16"/>
          <w:szCs w:val="16"/>
          <w:rtl w:val="0"/>
        </w:rPr>
        <w:t xml:space="preserve"> Le dichiarazioni devono essere rese dal titolare /rappresentante legale/procuratore</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dell'Operatore singolo, </w:t>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dei consorzi di cui all’articolo 65, comma 2, lettere b) e c) del Codice.</w:t>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dei consorzi stabili di cui all’articolo 65, comma 2, lett. d) del Codice, </w:t>
      </w:r>
    </w:p>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della Mandataria /Capofila nel caso di RTI o Consorzi Ordinari costituiti </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di tutte le imprese raggruppate in un RTI nel caso di RTI ancora da costituire </w:t>
      </w:r>
    </w:p>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di tutte le imprese consorziate che partecipano alla gara nel caso di un Consorzio Ordinario ancora da costituire</w:t>
      </w:r>
    </w:p>
    <w:p w:rsidR="00000000" w:rsidDel="00000000" w:rsidP="00000000" w:rsidRDefault="00000000" w:rsidRPr="00000000" w14:paraId="0000013D">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dell’impresa retista che riveste la funzione di organo comune nel caso di rete dotata di organo comune con potere di rappresentanza e con/senza soggettività giuridica; </w:t>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rsidR="00000000" w:rsidDel="00000000" w:rsidP="00000000" w:rsidRDefault="00000000" w:rsidRPr="00000000" w14:paraId="0000013F">
      <w:pPr>
        <w:pBdr>
          <w:top w:color="000000" w:space="0" w:sz="0" w:val="none"/>
          <w:left w:color="000000" w:space="0" w:sz="0" w:val="none"/>
          <w:bottom w:color="000000" w:space="0" w:sz="0" w:val="none"/>
          <w:right w:color="000000" w:space="0" w:sz="0" w:val="none"/>
          <w:between w:color="000000" w:space="0" w:sz="0" w:val="none"/>
        </w:pBdr>
        <w:tabs>
          <w:tab w:val="right" w:leader="none" w:pos="9639"/>
        </w:tabs>
        <w:jc w:val="both"/>
        <w:rPr>
          <w:rFonts w:ascii="Garamond" w:cs="Garamond" w:eastAsia="Garamond" w:hAnsi="Garamond"/>
          <w:color w:val="000000"/>
          <w:sz w:val="16"/>
          <w:szCs w:val="16"/>
          <w:vertAlign w:val="superscript"/>
        </w:rPr>
      </w:pPr>
      <w:r w:rsidDel="00000000" w:rsidR="00000000" w:rsidRPr="00000000">
        <w:rPr>
          <w:rFonts w:ascii="Titillium" w:cs="Titillium" w:eastAsia="Titillium" w:hAnsi="Titillium"/>
          <w:color w:val="000000"/>
          <w:sz w:val="16"/>
          <w:szCs w:val="16"/>
          <w:rtl w:val="0"/>
        </w:rPr>
        <w:t xml:space="preserve">• del Gruppo Europeo Interesse Economico</w:t>
      </w:r>
      <w:r w:rsidDel="00000000" w:rsidR="00000000" w:rsidRPr="00000000">
        <w:rPr>
          <w:rtl w:val="0"/>
        </w:rPr>
      </w:r>
    </w:p>
  </w:footnote>
  <w:footnote w:id="1">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right" w:leader="none" w:pos="9639"/>
        </w:tabs>
        <w:jc w:val="both"/>
        <w:rPr>
          <w:rFonts w:ascii="Garamond" w:cs="Garamond" w:eastAsia="Garamond" w:hAnsi="Garamond"/>
          <w:b w:val="1"/>
          <w:color w:val="000000"/>
          <w:sz w:val="18"/>
          <w:szCs w:val="18"/>
          <w:vertAlign w:val="superscript"/>
        </w:rPr>
      </w:pPr>
      <w:r w:rsidDel="00000000" w:rsidR="00000000" w:rsidRPr="00000000">
        <w:rPr>
          <w:rStyle w:val="FootnoteReference"/>
          <w:vertAlign w:val="superscript"/>
        </w:rPr>
        <w:footnoteRef/>
      </w:r>
      <w:r w:rsidDel="00000000" w:rsidR="00000000" w:rsidRPr="00000000">
        <w:rPr>
          <w:rFonts w:ascii="Titillium" w:cs="Titillium" w:eastAsia="Titillium" w:hAnsi="Titillium"/>
          <w:b w:val="1"/>
          <w:color w:val="000000"/>
          <w:sz w:val="16"/>
          <w:szCs w:val="16"/>
          <w:vertAlign w:val="superscript"/>
          <w:rtl w:val="0"/>
        </w:rPr>
        <w:t xml:space="preserve"> </w:t>
      </w:r>
      <w:r w:rsidDel="00000000" w:rsidR="00000000" w:rsidRPr="00000000">
        <w:rPr>
          <w:rFonts w:ascii="Titillium" w:cs="Titillium" w:eastAsia="Titillium" w:hAnsi="Titillium"/>
          <w:b w:val="1"/>
          <w:color w:val="000000"/>
          <w:sz w:val="16"/>
          <w:szCs w:val="16"/>
          <w:rtl w:val="0"/>
        </w:rPr>
        <w:t xml:space="preserve">La procura allegata ad una delle dichiarazioni sarà considerata valida anche ai fini delle altre dichiarazioni</w:t>
      </w:r>
      <w:r w:rsidDel="00000000" w:rsidR="00000000" w:rsidRPr="00000000">
        <w:rPr>
          <w:rtl w:val="0"/>
        </w:rPr>
      </w:r>
    </w:p>
  </w:footnote>
  <w:footnote w:id="2">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b w:val="1"/>
          <w:color w:val="000000"/>
          <w:sz w:val="16"/>
          <w:szCs w:val="16"/>
          <w:vertAlign w:val="superscript"/>
          <w:rtl w:val="0"/>
        </w:rPr>
        <w:t xml:space="preserve"> </w:t>
      </w:r>
      <w:r w:rsidDel="00000000" w:rsidR="00000000" w:rsidRPr="00000000">
        <w:rPr>
          <w:rFonts w:ascii="Titillium" w:cs="Titillium" w:eastAsia="Titillium" w:hAnsi="Titillium"/>
          <w:sz w:val="16"/>
          <w:szCs w:val="16"/>
          <w:rtl w:val="0"/>
        </w:rPr>
        <w:t xml:space="preserve">L’Operatore economico che si trovi in una delle situazioni di cui agli articoli 94 e 95 del Codice, ad eccezione delle irregolarità contributive e fiscali definitivamente e non definitivamente accertate, può fornire prova di aver adottato misure sufficienti a dimostrare la sua affidabilità.</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right" w:leader="none" w:pos="9639"/>
        </w:tabs>
        <w:jc w:val="both"/>
        <w:rPr>
          <w:rFonts w:ascii="Garamond" w:cs="Garamond" w:eastAsia="Garamond" w:hAnsi="Garamond"/>
          <w:b w:val="1"/>
          <w:color w:val="000000"/>
          <w:sz w:val="18"/>
          <w:szCs w:val="18"/>
          <w:vertAlign w:val="superscript"/>
        </w:rPr>
      </w:pPr>
      <w:r w:rsidDel="00000000" w:rsidR="00000000" w:rsidRPr="00000000">
        <w:rPr>
          <w:rFonts w:ascii="Titillium" w:cs="Titillium" w:eastAsia="Titillium" w:hAnsi="Titillium"/>
          <w:sz w:val="16"/>
          <w:szCs w:val="16"/>
          <w:rtl w:val="0"/>
        </w:rPr>
        <w:t xml:space="preserve">Per ulteriori informazioni si veda il co</w:t>
      </w:r>
      <w:r w:rsidDel="00000000" w:rsidR="00000000" w:rsidRPr="00000000">
        <w:rPr>
          <w:rFonts w:ascii="Titillium" w:cs="Titillium" w:eastAsia="Titillium" w:hAnsi="Titillium"/>
          <w:color w:val="000000"/>
          <w:sz w:val="16"/>
          <w:szCs w:val="16"/>
          <w:rtl w:val="0"/>
        </w:rPr>
        <w:t xml:space="preserve">municato del Presidente dell’ANAC del 26 ottobre 2016 “</w:t>
      </w:r>
      <w:r w:rsidDel="00000000" w:rsidR="00000000" w:rsidRPr="00000000">
        <w:rPr>
          <w:rFonts w:ascii="Titillium" w:cs="Titillium" w:eastAsia="Titillium" w:hAnsi="Titillium"/>
          <w:i w:val="1"/>
          <w:color w:val="000000"/>
          <w:sz w:val="16"/>
          <w:szCs w:val="16"/>
          <w:rtl w:val="0"/>
        </w:rPr>
        <w:t xml:space="preserve">Indicazioni alle stazioni appaltanti e agli operatori economici sulla definizione dell’ambito soggettivo dell’art. 80 d.lgs. 50/2016 e sullo svolgimento delle verifiche sulle dichiarazioni sostitutive rese dai concorrenti ai sensi del d.p.r. 445/2000 mediante utilizzo del modello di DGUE</w:t>
      </w:r>
      <w:r w:rsidDel="00000000" w:rsidR="00000000" w:rsidRPr="00000000">
        <w:rPr>
          <w:rFonts w:ascii="Titillium" w:cs="Titillium" w:eastAsia="Titillium" w:hAnsi="Titillium"/>
          <w:color w:val="000000"/>
          <w:sz w:val="16"/>
          <w:szCs w:val="16"/>
          <w:rtl w:val="0"/>
        </w:rPr>
        <w:t xml:space="preserve">”, pubblicato sul sito dell’Autorità in data 14/11/2016 - come modificato ai sensi dell’art. 96, commi da 2 a 6, D. lgs. 36/2023.</w:t>
      </w:r>
      <w:r w:rsidDel="00000000" w:rsidR="00000000" w:rsidRPr="00000000">
        <w:rPr>
          <w:rtl w:val="0"/>
        </w:rPr>
      </w:r>
    </w:p>
  </w:footnote>
  <w:footnote w:id="3">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b w:val="1"/>
          <w:color w:val="000000"/>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color w:val="000000"/>
          <w:sz w:val="16"/>
          <w:szCs w:val="16"/>
          <w:vertAlign w:val="superscript"/>
          <w:rtl w:val="0"/>
        </w:rPr>
        <w:t xml:space="preserve"> </w:t>
      </w:r>
      <w:r w:rsidDel="00000000" w:rsidR="00000000" w:rsidRPr="00000000">
        <w:rPr>
          <w:rFonts w:ascii="Titillium" w:cs="Titillium" w:eastAsia="Titillium" w:hAnsi="Titillium"/>
          <w:color w:val="000000"/>
          <w:sz w:val="16"/>
          <w:szCs w:val="16"/>
          <w:rtl w:val="0"/>
        </w:rPr>
        <w:t xml:space="preserve"> </w:t>
      </w:r>
      <w:r w:rsidDel="00000000" w:rsidR="00000000" w:rsidRPr="00000000">
        <w:rPr>
          <w:rFonts w:ascii="Titillium" w:cs="Titillium" w:eastAsia="Titillium" w:hAnsi="Titillium"/>
          <w:b w:val="1"/>
          <w:i w:val="1"/>
          <w:color w:val="000000"/>
          <w:sz w:val="16"/>
          <w:szCs w:val="16"/>
          <w:rtl w:val="0"/>
        </w:rPr>
        <w:t xml:space="preserve">NOTA BENE</w:t>
      </w:r>
      <w:r w:rsidDel="00000000" w:rsidR="00000000" w:rsidRPr="00000000">
        <w:rPr>
          <w:rFonts w:ascii="Titillium" w:cs="Titillium" w:eastAsia="Titillium" w:hAnsi="Titillium"/>
          <w:color w:val="000000"/>
          <w:sz w:val="16"/>
          <w:szCs w:val="16"/>
          <w:rtl w:val="0"/>
        </w:rPr>
        <w:t xml:space="preserve">: </w:t>
      </w:r>
      <w:r w:rsidDel="00000000" w:rsidR="00000000" w:rsidRPr="00000000">
        <w:rPr>
          <w:rFonts w:ascii="Titillium" w:cs="Titillium" w:eastAsia="Titillium" w:hAnsi="Titillium"/>
          <w:b w:val="1"/>
          <w:color w:val="000000"/>
          <w:sz w:val="16"/>
          <w:szCs w:val="16"/>
          <w:rtl w:val="0"/>
        </w:rPr>
        <w:t xml:space="preserve">Il concorrente a tal fine allega anche una copia firmata digitalmente della offerta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INAF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right" w:leader="none" w:pos="9639"/>
        </w:tabs>
        <w:jc w:val="both"/>
        <w:rPr>
          <w:rFonts w:ascii="Titillium" w:cs="Titillium" w:eastAsia="Titillium" w:hAnsi="Titillium"/>
          <w:color w:val="000000"/>
          <w:sz w:val="16"/>
          <w:szCs w:val="16"/>
        </w:rPr>
      </w:pPr>
      <w:r w:rsidDel="00000000" w:rsidR="00000000" w:rsidRPr="00000000">
        <w:rPr>
          <w:rFonts w:ascii="Titillium" w:cs="Titillium" w:eastAsia="Titillium" w:hAnsi="Titillium"/>
          <w:color w:val="000000"/>
          <w:sz w:val="16"/>
          <w:szCs w:val="16"/>
          <w:rtl w:val="0"/>
        </w:rPr>
        <w:t xml:space="preserve">Si precisa che in caso di richiesta di accesso agli atti della presente procedura di affidamento, le previsioni di cui al presente paragrafo costituiscono comunicazione ai sensi dell'art. 3 del D.P.R. n. 184/2006</w:t>
      </w:r>
    </w:p>
  </w:footnote>
  <w:footnote w:id="4">
    <w:p w:rsidR="00000000" w:rsidDel="00000000" w:rsidP="00000000" w:rsidRDefault="00000000" w:rsidRPr="00000000" w14:paraId="00000146">
      <w:pP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sz w:val="16"/>
          <w:szCs w:val="16"/>
          <w:rtl w:val="0"/>
        </w:rPr>
        <w:t xml:space="preserve">  Con riguardo alla necessaria applicazione anche alle imprese estere delle norme relative alla promozione dell’inclusione lavorativa delle persone disabili (nonché delle parità di genere e generazionale), si veda il parere del Ministero delle Infrastrutture e dei Trasporti n. 2041/2023 disponibile al link: https://www.oice.it/file/9327f50d4939e9062a3738413e95cd5a/10424908/</w:t>
      </w:r>
    </w:p>
    <w:p w:rsidR="00000000" w:rsidDel="00000000" w:rsidP="00000000" w:rsidRDefault="00000000" w:rsidRPr="00000000" w14:paraId="00000147">
      <w:pPr>
        <w:tabs>
          <w:tab w:val="right" w:leader="none" w:pos="9639"/>
        </w:tabs>
        <w:jc w:val="both"/>
        <w:rPr>
          <w:rFonts w:ascii="Titillium" w:cs="Titillium" w:eastAsia="Titillium" w:hAnsi="Titillium"/>
          <w:sz w:val="16"/>
          <w:szCs w:val="16"/>
        </w:rPr>
      </w:pPr>
      <w:r w:rsidDel="00000000" w:rsidR="00000000" w:rsidRPr="00000000">
        <w:rPr>
          <w:rtl w:val="0"/>
        </w:rPr>
      </w:r>
    </w:p>
  </w:footnote>
  <w:footnote w:id="5">
    <w:p w:rsidR="00000000" w:rsidDel="00000000" w:rsidP="00000000" w:rsidRDefault="00000000" w:rsidRPr="00000000" w14:paraId="00000148">
      <w:pPr>
        <w:tabs>
          <w:tab w:val="right" w:leader="none" w:pos="9639"/>
        </w:tabs>
        <w:jc w:val="both"/>
        <w:rPr>
          <w:rFonts w:ascii="Titillium" w:cs="Titillium" w:eastAsia="Titillium" w:hAnsi="Titillium"/>
          <w:sz w:val="16"/>
          <w:szCs w:val="16"/>
        </w:rPr>
      </w:pPr>
      <w:r w:rsidDel="00000000" w:rsidR="00000000" w:rsidRPr="00000000">
        <w:rPr>
          <w:rStyle w:val="FootnoteReference"/>
          <w:vertAlign w:val="superscript"/>
        </w:rPr>
        <w:footnoteRef/>
      </w:r>
      <w:r w:rsidDel="00000000" w:rsidR="00000000" w:rsidRPr="00000000">
        <w:rPr>
          <w:rFonts w:ascii="Titillium" w:cs="Titillium" w:eastAsia="Titillium" w:hAnsi="Titillium"/>
          <w:sz w:val="16"/>
          <w:szCs w:val="16"/>
          <w:vertAlign w:val="superscript"/>
          <w:rtl w:val="0"/>
        </w:rPr>
        <w:t xml:space="preserve"> </w:t>
      </w:r>
      <w:r w:rsidDel="00000000" w:rsidR="00000000" w:rsidRPr="00000000">
        <w:rPr>
          <w:rFonts w:ascii="Titillium" w:cs="Titillium" w:eastAsia="Titillium" w:hAnsi="Titillium"/>
          <w:sz w:val="16"/>
          <w:szCs w:val="16"/>
          <w:rtl w:val="0"/>
        </w:rPr>
        <w:t xml:space="preserve"> Ulteriori informazioni e documenti relativi al/ai titolare/i effettivo/i sono previsti nell’allegato n)  “</w:t>
      </w:r>
      <w:r w:rsidDel="00000000" w:rsidR="00000000" w:rsidRPr="00000000">
        <w:rPr>
          <w:rFonts w:ascii="Titillium" w:cs="Titillium" w:eastAsia="Titillium" w:hAnsi="Titillium"/>
          <w:i w:val="1"/>
          <w:sz w:val="16"/>
          <w:szCs w:val="16"/>
          <w:rtl w:val="0"/>
        </w:rPr>
        <w:t xml:space="preserve">Modello dichiarazione titolare effettivo</w:t>
      </w:r>
      <w:r w:rsidDel="00000000" w:rsidR="00000000" w:rsidRPr="00000000">
        <w:rPr>
          <w:rFonts w:ascii="Titillium" w:cs="Titillium" w:eastAsia="Titillium" w:hAnsi="Titillium"/>
          <w:sz w:val="16"/>
          <w:szCs w:val="16"/>
          <w:rtl w:val="0"/>
        </w:rPr>
        <w:t xml:space="preserve">”.</w:t>
      </w:r>
    </w:p>
    <w:p w:rsidR="00000000" w:rsidDel="00000000" w:rsidP="00000000" w:rsidRDefault="00000000" w:rsidRPr="00000000" w14:paraId="00000149">
      <w:pPr>
        <w:tabs>
          <w:tab w:val="right" w:leader="none" w:pos="9639"/>
        </w:tabs>
        <w:jc w:val="both"/>
        <w:rPr>
          <w:rFonts w:ascii="Titillium" w:cs="Titillium" w:eastAsia="Titillium" w:hAnsi="Titillium"/>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819"/>
        <w:tab w:val="right" w:leader="none" w:pos="9638"/>
      </w:tabs>
      <w:ind w:left="-1134" w:right="-1134" w:firstLine="0"/>
      <w:rPr>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819"/>
        <w:tab w:val="right" w:leader="none" w:pos="9638"/>
      </w:tabs>
      <w:ind w:right="-1134"/>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819"/>
        <w:tab w:val="right" w:leader="none" w:pos="9638"/>
      </w:tabs>
      <w:ind w:right="-1134"/>
      <w:rPr>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819"/>
        <w:tab w:val="right" w:leader="none" w:pos="9638"/>
      </w:tabs>
      <w:ind w:left="-1134" w:right="-1134" w:firstLine="0"/>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7" w:hanging="425"/>
      </w:pPr>
      <w:rPr>
        <w:b w:val="1"/>
        <w:i w:val="0"/>
        <w:smallCaps w:val="0"/>
        <w:strike w:val="0"/>
        <w:shd w:fill="auto" w:val="clear"/>
        <w:vertAlign w:val="baseline"/>
      </w:rPr>
    </w:lvl>
    <w:lvl w:ilvl="1">
      <w:start w:val="1"/>
      <w:numFmt w:val="decimal"/>
      <w:lvlText w:val="%2."/>
      <w:lvlJc w:val="left"/>
      <w:pPr>
        <w:ind w:left="1145" w:hanging="425"/>
      </w:pPr>
      <w:rPr>
        <w:smallCaps w:val="0"/>
        <w:strike w:val="0"/>
        <w:shd w:fill="auto" w:val="clear"/>
        <w:vertAlign w:val="baseline"/>
      </w:rPr>
    </w:lvl>
    <w:lvl w:ilvl="2">
      <w:start w:val="1"/>
      <w:numFmt w:val="decimal"/>
      <w:lvlText w:val="%3."/>
      <w:lvlJc w:val="left"/>
      <w:pPr>
        <w:ind w:left="1865" w:hanging="425"/>
      </w:pPr>
      <w:rPr>
        <w:smallCaps w:val="0"/>
        <w:strike w:val="0"/>
        <w:shd w:fill="auto" w:val="clear"/>
        <w:vertAlign w:val="baseline"/>
      </w:rPr>
    </w:lvl>
    <w:lvl w:ilvl="3">
      <w:start w:val="1"/>
      <w:numFmt w:val="decimal"/>
      <w:lvlText w:val="%4."/>
      <w:lvlJc w:val="left"/>
      <w:pPr>
        <w:ind w:left="2585" w:hanging="425"/>
      </w:pPr>
      <w:rPr>
        <w:smallCaps w:val="0"/>
        <w:strike w:val="0"/>
        <w:shd w:fill="auto" w:val="clear"/>
        <w:vertAlign w:val="baseline"/>
      </w:rPr>
    </w:lvl>
    <w:lvl w:ilvl="4">
      <w:start w:val="1"/>
      <w:numFmt w:val="decimal"/>
      <w:lvlText w:val="%5."/>
      <w:lvlJc w:val="left"/>
      <w:pPr>
        <w:ind w:left="3305" w:hanging="425"/>
      </w:pPr>
      <w:rPr>
        <w:smallCaps w:val="0"/>
        <w:strike w:val="0"/>
        <w:shd w:fill="auto" w:val="clear"/>
        <w:vertAlign w:val="baseline"/>
      </w:rPr>
    </w:lvl>
    <w:lvl w:ilvl="5">
      <w:start w:val="1"/>
      <w:numFmt w:val="decimal"/>
      <w:lvlText w:val="%6."/>
      <w:lvlJc w:val="left"/>
      <w:pPr>
        <w:ind w:left="4025" w:hanging="425"/>
      </w:pPr>
      <w:rPr>
        <w:smallCaps w:val="0"/>
        <w:strike w:val="0"/>
        <w:shd w:fill="auto" w:val="clear"/>
        <w:vertAlign w:val="baseline"/>
      </w:rPr>
    </w:lvl>
    <w:lvl w:ilvl="6">
      <w:start w:val="1"/>
      <w:numFmt w:val="decimal"/>
      <w:lvlText w:val="%7."/>
      <w:lvlJc w:val="left"/>
      <w:pPr>
        <w:ind w:left="4745" w:hanging="425"/>
      </w:pPr>
      <w:rPr>
        <w:smallCaps w:val="0"/>
        <w:strike w:val="0"/>
        <w:shd w:fill="auto" w:val="clear"/>
        <w:vertAlign w:val="baseline"/>
      </w:rPr>
    </w:lvl>
    <w:lvl w:ilvl="7">
      <w:start w:val="1"/>
      <w:numFmt w:val="decimal"/>
      <w:lvlText w:val="%8."/>
      <w:lvlJc w:val="left"/>
      <w:pPr>
        <w:ind w:left="5465" w:hanging="425"/>
      </w:pPr>
      <w:rPr>
        <w:smallCaps w:val="0"/>
        <w:strike w:val="0"/>
        <w:shd w:fill="auto" w:val="clear"/>
        <w:vertAlign w:val="baseline"/>
      </w:rPr>
    </w:lvl>
    <w:lvl w:ilvl="8">
      <w:start w:val="1"/>
      <w:numFmt w:val="decimal"/>
      <w:lvlText w:val="%9."/>
      <w:lvlJc w:val="left"/>
      <w:pPr>
        <w:ind w:left="6185" w:hanging="425"/>
      </w:pPr>
      <w:rPr>
        <w:smallCaps w:val="0"/>
        <w:strike w:val="0"/>
        <w:shd w:fill="auto" w:val="clear"/>
        <w:vertAlign w:val="baseline"/>
      </w:rPr>
    </w:lvl>
  </w:abstractNum>
  <w:abstractNum w:abstractNumId="5">
    <w:lvl w:ilvl="0">
      <w:start w:val="1"/>
      <w:numFmt w:val="lowerLetter"/>
      <w:lvlText w:val="%1)"/>
      <w:lvlJc w:val="left"/>
      <w:pPr>
        <w:ind w:left="1276" w:hanging="284.0000000000001"/>
      </w:pPr>
      <w:rPr>
        <w:smallCaps w:val="0"/>
        <w:strike w:val="0"/>
        <w:shd w:fill="auto" w:val="clear"/>
        <w:vertAlign w:val="baseline"/>
      </w:rPr>
    </w:lvl>
    <w:lvl w:ilvl="1">
      <w:start w:val="1"/>
      <w:numFmt w:val="lowerLetter"/>
      <w:lvlText w:val="%2)"/>
      <w:lvlJc w:val="left"/>
      <w:pPr>
        <w:ind w:left="1287" w:hanging="284.00000000000034"/>
      </w:pPr>
      <w:rPr>
        <w:smallCaps w:val="0"/>
        <w:strike w:val="0"/>
        <w:shd w:fill="auto" w:val="clear"/>
        <w:vertAlign w:val="baseline"/>
      </w:rPr>
    </w:lvl>
    <w:lvl w:ilvl="2">
      <w:start w:val="1"/>
      <w:numFmt w:val="lowerLetter"/>
      <w:lvlText w:val="%3)"/>
      <w:lvlJc w:val="left"/>
      <w:pPr>
        <w:ind w:left="2007" w:hanging="284.00000000000045"/>
      </w:pPr>
      <w:rPr>
        <w:smallCaps w:val="0"/>
        <w:strike w:val="0"/>
        <w:shd w:fill="auto" w:val="clear"/>
        <w:vertAlign w:val="baseline"/>
      </w:rPr>
    </w:lvl>
    <w:lvl w:ilvl="3">
      <w:start w:val="1"/>
      <w:numFmt w:val="lowerLetter"/>
      <w:lvlText w:val="%4)"/>
      <w:lvlJc w:val="left"/>
      <w:pPr>
        <w:ind w:left="2727" w:hanging="284"/>
      </w:pPr>
      <w:rPr>
        <w:smallCaps w:val="0"/>
        <w:strike w:val="0"/>
        <w:shd w:fill="auto" w:val="clear"/>
        <w:vertAlign w:val="baseline"/>
      </w:rPr>
    </w:lvl>
    <w:lvl w:ilvl="4">
      <w:start w:val="1"/>
      <w:numFmt w:val="lowerLetter"/>
      <w:lvlText w:val="%5)"/>
      <w:lvlJc w:val="left"/>
      <w:pPr>
        <w:ind w:left="3447" w:hanging="284"/>
      </w:pPr>
      <w:rPr>
        <w:smallCaps w:val="0"/>
        <w:strike w:val="0"/>
        <w:shd w:fill="auto" w:val="clear"/>
        <w:vertAlign w:val="baseline"/>
      </w:rPr>
    </w:lvl>
    <w:lvl w:ilvl="5">
      <w:start w:val="1"/>
      <w:numFmt w:val="lowerLetter"/>
      <w:lvlText w:val="%6)"/>
      <w:lvlJc w:val="left"/>
      <w:pPr>
        <w:ind w:left="4167" w:hanging="284"/>
      </w:pPr>
      <w:rPr>
        <w:smallCaps w:val="0"/>
        <w:strike w:val="0"/>
        <w:shd w:fill="auto" w:val="clear"/>
        <w:vertAlign w:val="baseline"/>
      </w:rPr>
    </w:lvl>
    <w:lvl w:ilvl="6">
      <w:start w:val="1"/>
      <w:numFmt w:val="lowerLetter"/>
      <w:lvlText w:val="%7)"/>
      <w:lvlJc w:val="left"/>
      <w:pPr>
        <w:ind w:left="4887" w:hanging="284"/>
      </w:pPr>
      <w:rPr>
        <w:smallCaps w:val="0"/>
        <w:strike w:val="0"/>
        <w:shd w:fill="auto" w:val="clear"/>
        <w:vertAlign w:val="baseline"/>
      </w:rPr>
    </w:lvl>
    <w:lvl w:ilvl="7">
      <w:start w:val="1"/>
      <w:numFmt w:val="lowerLetter"/>
      <w:lvlText w:val="%8)"/>
      <w:lvlJc w:val="left"/>
      <w:pPr>
        <w:ind w:left="5607" w:hanging="282.9999999999991"/>
      </w:pPr>
      <w:rPr>
        <w:smallCaps w:val="0"/>
        <w:strike w:val="0"/>
        <w:shd w:fill="auto" w:val="clear"/>
        <w:vertAlign w:val="baseline"/>
      </w:rPr>
    </w:lvl>
    <w:lvl w:ilvl="8">
      <w:start w:val="1"/>
      <w:numFmt w:val="lowerLetter"/>
      <w:lvlText w:val="%9)"/>
      <w:lvlJc w:val="left"/>
      <w:pPr>
        <w:ind w:left="6327" w:hanging="282.9999999999991"/>
      </w:pPr>
      <w:rPr>
        <w:smallCaps w:val="0"/>
        <w:strike w:val="0"/>
        <w:shd w:fill="auto" w:val="clear"/>
        <w:vertAlign w:val="baseline"/>
      </w:rPr>
    </w:lvl>
  </w:abstractNum>
  <w:abstractNum w:abstractNumId="6">
    <w:lvl w:ilvl="0">
      <w:start w:val="1"/>
      <w:numFmt w:val="bullet"/>
      <w:lvlText w:val="●"/>
      <w:lvlJc w:val="left"/>
      <w:pPr>
        <w:ind w:left="2727" w:hanging="360"/>
      </w:pPr>
      <w:rPr>
        <w:rFonts w:ascii="Noto Sans Symbols" w:cs="Noto Sans Symbols" w:eastAsia="Noto Sans Symbols" w:hAnsi="Noto Sans Symbols"/>
      </w:rPr>
    </w:lvl>
    <w:lvl w:ilvl="1">
      <w:start w:val="1"/>
      <w:numFmt w:val="bullet"/>
      <w:lvlText w:val="o"/>
      <w:lvlJc w:val="left"/>
      <w:pPr>
        <w:ind w:left="3447" w:hanging="360"/>
      </w:pPr>
      <w:rPr>
        <w:rFonts w:ascii="Courier New" w:cs="Courier New" w:eastAsia="Courier New" w:hAnsi="Courier New"/>
      </w:rPr>
    </w:lvl>
    <w:lvl w:ilvl="2">
      <w:start w:val="1"/>
      <w:numFmt w:val="bullet"/>
      <w:lvlText w:val="▪"/>
      <w:lvlJc w:val="left"/>
      <w:pPr>
        <w:ind w:left="4167" w:hanging="360"/>
      </w:pPr>
      <w:rPr>
        <w:rFonts w:ascii="Noto Sans Symbols" w:cs="Noto Sans Symbols" w:eastAsia="Noto Sans Symbols" w:hAnsi="Noto Sans Symbols"/>
      </w:rPr>
    </w:lvl>
    <w:lvl w:ilvl="3">
      <w:start w:val="1"/>
      <w:numFmt w:val="bullet"/>
      <w:lvlText w:val="●"/>
      <w:lvlJc w:val="left"/>
      <w:pPr>
        <w:ind w:left="4887" w:hanging="360"/>
      </w:pPr>
      <w:rPr>
        <w:rFonts w:ascii="Noto Sans Symbols" w:cs="Noto Sans Symbols" w:eastAsia="Noto Sans Symbols" w:hAnsi="Noto Sans Symbols"/>
      </w:rPr>
    </w:lvl>
    <w:lvl w:ilvl="4">
      <w:start w:val="1"/>
      <w:numFmt w:val="bullet"/>
      <w:lvlText w:val="o"/>
      <w:lvlJc w:val="left"/>
      <w:pPr>
        <w:ind w:left="5607" w:hanging="360"/>
      </w:pPr>
      <w:rPr>
        <w:rFonts w:ascii="Courier New" w:cs="Courier New" w:eastAsia="Courier New" w:hAnsi="Courier New"/>
      </w:rPr>
    </w:lvl>
    <w:lvl w:ilvl="5">
      <w:start w:val="1"/>
      <w:numFmt w:val="bullet"/>
      <w:lvlText w:val="▪"/>
      <w:lvlJc w:val="left"/>
      <w:pPr>
        <w:ind w:left="6327" w:hanging="360"/>
      </w:pPr>
      <w:rPr>
        <w:rFonts w:ascii="Noto Sans Symbols" w:cs="Noto Sans Symbols" w:eastAsia="Noto Sans Symbols" w:hAnsi="Noto Sans Symbols"/>
      </w:rPr>
    </w:lvl>
    <w:lvl w:ilvl="6">
      <w:start w:val="1"/>
      <w:numFmt w:val="bullet"/>
      <w:lvlText w:val="●"/>
      <w:lvlJc w:val="left"/>
      <w:pPr>
        <w:ind w:left="7047" w:hanging="360"/>
      </w:pPr>
      <w:rPr>
        <w:rFonts w:ascii="Noto Sans Symbols" w:cs="Noto Sans Symbols" w:eastAsia="Noto Sans Symbols" w:hAnsi="Noto Sans Symbols"/>
      </w:rPr>
    </w:lvl>
    <w:lvl w:ilvl="7">
      <w:start w:val="1"/>
      <w:numFmt w:val="bullet"/>
      <w:lvlText w:val="o"/>
      <w:lvlJc w:val="left"/>
      <w:pPr>
        <w:ind w:left="7767" w:hanging="360"/>
      </w:pPr>
      <w:rPr>
        <w:rFonts w:ascii="Courier New" w:cs="Courier New" w:eastAsia="Courier New" w:hAnsi="Courier New"/>
      </w:rPr>
    </w:lvl>
    <w:lvl w:ilvl="8">
      <w:start w:val="1"/>
      <w:numFmt w:val="bullet"/>
      <w:lvlText w:val="▪"/>
      <w:lvlJc w:val="left"/>
      <w:pPr>
        <w:ind w:left="8487" w:hanging="360"/>
      </w:pPr>
      <w:rPr>
        <w:rFonts w:ascii="Noto Sans Symbols" w:cs="Noto Sans Symbols" w:eastAsia="Noto Sans Symbols" w:hAnsi="Noto Sans Symbols"/>
      </w:rPr>
    </w:lvl>
  </w:abstractNum>
  <w:abstractNum w:abstractNumId="7">
    <w:lvl w:ilvl="0">
      <w:start w:val="1"/>
      <w:numFmt w:val="bullet"/>
      <w:lvlText w:val="▪"/>
      <w:lvlJc w:val="left"/>
      <w:pPr>
        <w:ind w:left="1566" w:hanging="360"/>
      </w:pPr>
      <w:rPr>
        <w:rFonts w:ascii="Noto Sans Symbols" w:cs="Noto Sans Symbols" w:eastAsia="Noto Sans Symbols" w:hAnsi="Noto Sans Symbols"/>
        <w:color w:val="000000"/>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link w:val="IntestazioneCarattere"/>
    <w:uiPriority w:val="99"/>
    <w:unhideWhenUsed w:val="1"/>
    <w:rsid w:val="000151A3"/>
    <w:pPr>
      <w:tabs>
        <w:tab w:val="center" w:pos="4819"/>
        <w:tab w:val="right" w:pos="9638"/>
      </w:tabs>
    </w:pPr>
  </w:style>
  <w:style w:type="character" w:styleId="IntestazioneCarattere" w:customStyle="1">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val="1"/>
    <w:rsid w:val="000151A3"/>
    <w:pPr>
      <w:tabs>
        <w:tab w:val="center" w:pos="4819"/>
        <w:tab w:val="right" w:pos="9638"/>
      </w:tabs>
    </w:pPr>
  </w:style>
  <w:style w:type="character" w:styleId="PidipaginaCarattere" w:customStyle="1">
    <w:name w:val="Piè di pagina Carattere"/>
    <w:basedOn w:val="Carpredefinitoparagrafo"/>
    <w:link w:val="Pidipagina"/>
    <w:uiPriority w:val="99"/>
    <w:rsid w:val="000151A3"/>
  </w:style>
  <w:style w:type="paragraph" w:styleId="Paragrafoelenco">
    <w:name w:val="List Paragraph"/>
    <w:aliases w:val="Bullet edison,Paragrafo elenco 2"/>
    <w:basedOn w:val="Normale"/>
    <w:link w:val="ParagrafoelencoCarattere"/>
    <w:uiPriority w:val="34"/>
    <w:qFormat w:val="1"/>
    <w:rsid w:val="000151A3"/>
    <w:pPr>
      <w:ind w:left="720"/>
      <w:contextualSpacing w:val="1"/>
    </w:pPr>
  </w:style>
  <w:style w:type="character" w:styleId="ParagrafoelencoCarattere" w:customStyle="1">
    <w:name w:val="Paragrafo elenco Carattere"/>
    <w:aliases w:val="Bullet edison Carattere,Paragrafo elenco 2 Carattere"/>
    <w:basedOn w:val="Carpredefinitoparagrafo"/>
    <w:link w:val="Paragrafoelenco"/>
    <w:uiPriority w:val="99"/>
    <w:qFormat w:val="1"/>
    <w:rsid w:val="00297CB2"/>
  </w:style>
  <w:style w:type="paragraph" w:styleId="Revisione">
    <w:name w:val="Revision"/>
    <w:hidden w:val="1"/>
    <w:uiPriority w:val="99"/>
    <w:semiHidden w:val="1"/>
    <w:rsid w:val="00761EC3"/>
  </w:style>
  <w:style w:type="character" w:styleId="Rimandocommento">
    <w:name w:val="annotation reference"/>
    <w:basedOn w:val="Carpredefinitoparagrafo"/>
    <w:uiPriority w:val="99"/>
    <w:semiHidden w:val="1"/>
    <w:unhideWhenUsed w:val="1"/>
    <w:rsid w:val="00346B95"/>
    <w:rPr>
      <w:sz w:val="16"/>
      <w:szCs w:val="16"/>
    </w:rPr>
  </w:style>
  <w:style w:type="paragraph" w:styleId="Testocommento">
    <w:name w:val="annotation text"/>
    <w:basedOn w:val="Normale"/>
    <w:link w:val="TestocommentoCarattere"/>
    <w:uiPriority w:val="99"/>
    <w:unhideWhenUsed w:val="1"/>
    <w:rsid w:val="00346B95"/>
    <w:rPr>
      <w:sz w:val="20"/>
      <w:szCs w:val="20"/>
    </w:rPr>
  </w:style>
  <w:style w:type="character" w:styleId="TestocommentoCarattere" w:customStyle="1">
    <w:name w:val="Testo commento Carattere"/>
    <w:basedOn w:val="Carpredefinitoparagrafo"/>
    <w:link w:val="Testocommento"/>
    <w:uiPriority w:val="99"/>
    <w:rsid w:val="00346B95"/>
    <w:rPr>
      <w:sz w:val="20"/>
      <w:szCs w:val="20"/>
    </w:rPr>
  </w:style>
  <w:style w:type="paragraph" w:styleId="Soggettocommento">
    <w:name w:val="annotation subject"/>
    <w:basedOn w:val="Testocommento"/>
    <w:next w:val="Testocommento"/>
    <w:link w:val="SoggettocommentoCarattere"/>
    <w:uiPriority w:val="99"/>
    <w:semiHidden w:val="1"/>
    <w:unhideWhenUsed w:val="1"/>
    <w:rsid w:val="00346B95"/>
    <w:rPr>
      <w:b w:val="1"/>
      <w:bCs w:val="1"/>
    </w:rPr>
  </w:style>
  <w:style w:type="character" w:styleId="SoggettocommentoCarattere" w:customStyle="1">
    <w:name w:val="Soggetto commento Carattere"/>
    <w:basedOn w:val="TestocommentoCarattere"/>
    <w:link w:val="Soggettocommento"/>
    <w:uiPriority w:val="99"/>
    <w:semiHidden w:val="1"/>
    <w:rsid w:val="00346B95"/>
    <w:rPr>
      <w:b w:val="1"/>
      <w:bCs w:val="1"/>
      <w:sz w:val="20"/>
      <w:szCs w:val="20"/>
    </w:rPr>
  </w:style>
  <w:style w:type="table" w:styleId="TableNormal2" w:customStyle="1">
    <w:name w:val="Table Normal"/>
    <w:rsid w:val="005F55D7"/>
    <w:pPr>
      <w:pBdr>
        <w:top w:space="0" w:sz="0" w:val="nil"/>
        <w:left w:space="0" w:sz="0" w:val="nil"/>
        <w:bottom w:space="0" w:sz="0" w:val="nil"/>
        <w:right w:space="0" w:sz="0" w:val="nil"/>
        <w:between w:space="0" w:sz="0" w:val="nil"/>
        <w:bar w:space="0" w:sz="0" w:val="nil"/>
      </w:pBdr>
    </w:pPr>
    <w:rPr>
      <w:rFonts w:ascii="Times New Roman" w:cs="Times New Roman" w:eastAsia="Arial Unicode MS" w:hAnsi="Times New Roman"/>
      <w:sz w:val="20"/>
      <w:szCs w:val="20"/>
      <w:bdr w:space="0" w:sz="0" w:val="nil"/>
    </w:rPr>
    <w:tblPr>
      <w:tblInd w:w="0.0" w:type="dxa"/>
      <w:tblCellMar>
        <w:top w:w="0.0" w:type="dxa"/>
        <w:left w:w="0.0" w:type="dxa"/>
        <w:bottom w:w="0.0" w:type="dxa"/>
        <w:right w:w="0.0" w:type="dxa"/>
      </w:tblCellMar>
    </w:tblPr>
  </w:style>
  <w:style w:type="paragraph" w:styleId="Testonotaapidipagina">
    <w:name w:val="footnote text"/>
    <w:link w:val="TestonotaapidipaginaCarattere"/>
    <w:uiPriority w:val="99"/>
    <w:rsid w:val="005F55D7"/>
    <w:pPr>
      <w:pBdr>
        <w:top w:space="0" w:sz="0" w:val="nil"/>
        <w:left w:space="0" w:sz="0" w:val="nil"/>
        <w:bottom w:space="0" w:sz="0" w:val="nil"/>
        <w:right w:space="0" w:sz="0" w:val="nil"/>
        <w:between w:space="0" w:sz="0" w:val="nil"/>
        <w:bar w:space="0" w:sz="0" w:val="nil"/>
      </w:pBdr>
      <w:tabs>
        <w:tab w:val="right" w:pos="9639"/>
      </w:tabs>
      <w:jc w:val="both"/>
    </w:pPr>
    <w:rPr>
      <w:rFonts w:ascii="Garamond" w:cs="Garamond" w:eastAsia="Garamond" w:hAnsi="Garamond"/>
      <w:color w:val="000000"/>
      <w:sz w:val="18"/>
      <w:szCs w:val="18"/>
      <w:u w:color="000000"/>
      <w:bdr w:space="0" w:sz="0" w:val="nil"/>
      <w:vertAlign w:val="superscript"/>
    </w:rPr>
  </w:style>
  <w:style w:type="character" w:styleId="TestonotaapidipaginaCarattere" w:customStyle="1">
    <w:name w:val="Testo nota a piè di pagina Carattere"/>
    <w:basedOn w:val="Carpredefinitoparagrafo"/>
    <w:link w:val="Testonotaapidipagina"/>
    <w:uiPriority w:val="99"/>
    <w:rsid w:val="005F55D7"/>
    <w:rPr>
      <w:rFonts w:ascii="Garamond" w:cs="Garamond" w:eastAsia="Garamond" w:hAnsi="Garamond"/>
      <w:color w:val="000000"/>
      <w:sz w:val="18"/>
      <w:szCs w:val="18"/>
      <w:u w:color="000000"/>
      <w:bdr w:space="0" w:sz="0" w:val="nil"/>
      <w:vertAlign w:val="superscript"/>
      <w:lang w:eastAsia="it-IT"/>
    </w:rPr>
  </w:style>
  <w:style w:type="paragraph" w:styleId="Corpotesto">
    <w:name w:val="Body Text"/>
    <w:link w:val="CorpotestoCarattere"/>
    <w:rsid w:val="005F55D7"/>
    <w:pPr>
      <w:pBdr>
        <w:top w:space="0" w:sz="0" w:val="nil"/>
        <w:left w:space="0" w:sz="0" w:val="nil"/>
        <w:bottom w:space="0" w:sz="0" w:val="nil"/>
        <w:right w:space="0" w:sz="0" w:val="nil"/>
        <w:between w:space="0" w:sz="0" w:val="nil"/>
        <w:bar w:space="0" w:sz="0" w:val="nil"/>
      </w:pBdr>
      <w:jc w:val="both"/>
    </w:pPr>
    <w:rPr>
      <w:rFonts w:ascii="Albertus Medium" w:cs="Albertus Medium" w:eastAsia="Albertus Medium" w:hAnsi="Albertus Medium"/>
      <w:color w:val="000000"/>
      <w:sz w:val="18"/>
      <w:szCs w:val="18"/>
      <w:u w:color="000000"/>
      <w:bdr w:space="0" w:sz="0" w:val="nil"/>
    </w:rPr>
  </w:style>
  <w:style w:type="character" w:styleId="CorpotestoCarattere" w:customStyle="1">
    <w:name w:val="Corpo testo Carattere"/>
    <w:basedOn w:val="Carpredefinitoparagrafo"/>
    <w:link w:val="Corpotesto"/>
    <w:rsid w:val="005F55D7"/>
    <w:rPr>
      <w:rFonts w:ascii="Albertus Medium" w:cs="Albertus Medium" w:eastAsia="Albertus Medium" w:hAnsi="Albertus Medium"/>
      <w:color w:val="000000"/>
      <w:sz w:val="18"/>
      <w:szCs w:val="18"/>
      <w:u w:color="000000"/>
      <w:bdr w:space="0" w:sz="0" w:val="nil"/>
      <w:lang w:eastAsia="it-IT"/>
    </w:rPr>
  </w:style>
  <w:style w:type="numbering" w:styleId="Stileimportato3" w:customStyle="1">
    <w:name w:val="Stile importato 3"/>
    <w:rsid w:val="005F55D7"/>
  </w:style>
  <w:style w:type="numbering" w:styleId="Stileimportato4" w:customStyle="1">
    <w:name w:val="Stile importato 4"/>
    <w:rsid w:val="005F55D7"/>
  </w:style>
  <w:style w:type="numbering" w:styleId="Stileimportato5" w:customStyle="1">
    <w:name w:val="Stile importato 5"/>
    <w:rsid w:val="005F55D7"/>
  </w:style>
  <w:style w:type="paragraph" w:styleId="Paragrafoelenco1" w:customStyle="1">
    <w:name w:val="Paragrafo elenco1"/>
    <w:basedOn w:val="Normale"/>
    <w:uiPriority w:val="99"/>
    <w:qFormat w:val="1"/>
    <w:rsid w:val="005F55D7"/>
    <w:pPr>
      <w:ind w:left="720"/>
      <w:contextualSpacing w:val="1"/>
    </w:pPr>
    <w:rPr>
      <w:rFonts w:ascii="Times New Roman" w:cs="Times New Roman" w:eastAsia="Times New Roman" w:hAnsi="Times New Roman"/>
      <w:color w:val="00000a"/>
      <w:kern w:val="1"/>
      <w:szCs w:val="20"/>
      <w:u w:color="000000"/>
    </w:rPr>
  </w:style>
  <w:style w:type="character" w:styleId="Collegamentoipertestuale">
    <w:name w:val="Hyperlink"/>
    <w:basedOn w:val="Carpredefinitoparagrafo"/>
    <w:uiPriority w:val="99"/>
    <w:unhideWhenUsed w:val="1"/>
    <w:rsid w:val="00DA6464"/>
    <w:rPr>
      <w:color w:val="0563c1" w:themeColor="hyperlink"/>
      <w:u w:val="single"/>
    </w:rPr>
  </w:style>
  <w:style w:type="character" w:styleId="Menzionenonrisolta1" w:customStyle="1">
    <w:name w:val="Menzione non risolta1"/>
    <w:basedOn w:val="Carpredefinitoparagrafo"/>
    <w:uiPriority w:val="99"/>
    <w:semiHidden w:val="1"/>
    <w:unhideWhenUsed w:val="1"/>
    <w:rsid w:val="00DA6464"/>
    <w:rPr>
      <w:color w:val="605e5c"/>
      <w:shd w:color="auto" w:fill="e1dfdd" w:val="clear"/>
    </w:rPr>
  </w:style>
  <w:style w:type="character" w:styleId="Collegamentovisitato">
    <w:name w:val="FollowedHyperlink"/>
    <w:basedOn w:val="Carpredefinitoparagrafo"/>
    <w:uiPriority w:val="99"/>
    <w:semiHidden w:val="1"/>
    <w:unhideWhenUsed w:val="1"/>
    <w:rsid w:val="00DA6464"/>
    <w:rPr>
      <w:color w:val="954f72" w:themeColor="followedHyperlink"/>
      <w:u w:val="single"/>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115.0" w:type="dxa"/>
        <w:right w:w="115.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115.0" w:type="dxa"/>
        <w:right w:w="115.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tblPr>
      <w:tblStyleRowBandSize w:val="1"/>
      <w:tblStyleColBandSize w:val="1"/>
      <w:tblCellMar>
        <w:left w:w="115.0" w:type="dxa"/>
        <w:right w:w="115.0" w:type="dxa"/>
      </w:tblCellMar>
    </w:tblPr>
  </w:style>
  <w:style w:type="table" w:styleId="a6" w:customStyle="1">
    <w:basedOn w:val="TableNormal2"/>
    <w:tblPr>
      <w:tblStyleRowBandSize w:val="1"/>
      <w:tblStyleColBandSize w:val="1"/>
      <w:tblCellMar>
        <w:left w:w="115.0" w:type="dxa"/>
        <w:right w:w="115.0" w:type="dxa"/>
      </w:tblCellMar>
    </w:tblPr>
  </w:style>
  <w:style w:type="table" w:styleId="a7" w:customStyle="1">
    <w:basedOn w:val="TableNormal2"/>
    <w:tblPr>
      <w:tblStyleRowBandSize w:val="1"/>
      <w:tblStyleColBandSize w:val="1"/>
      <w:tblCellMar>
        <w:left w:w="115.0" w:type="dxa"/>
        <w:right w:w="115.0" w:type="dxa"/>
      </w:tblCellMar>
    </w:tblPr>
  </w:style>
  <w:style w:type="table" w:styleId="a8" w:customStyle="1">
    <w:basedOn w:val="TableNormal2"/>
    <w:rPr>
      <w:rFonts w:eastAsia="Times New Roman"/>
    </w:rPr>
    <w:tblPr>
      <w:tblStyleRowBandSize w:val="1"/>
      <w:tblStyleColBandSize w:val="1"/>
    </w:tblPr>
  </w:style>
  <w:style w:type="character" w:styleId="Rimandonotaapidipagina">
    <w:name w:val="footnote reference"/>
    <w:basedOn w:val="Carpredefinitoparagrafo"/>
    <w:uiPriority w:val="99"/>
    <w:semiHidden w:val="1"/>
    <w:unhideWhenUsed w:val="1"/>
    <w:rsid w:val="00A709CD"/>
    <w:rPr>
      <w:vertAlign w:val="superscript"/>
    </w:rPr>
  </w:style>
  <w:style w:type="table" w:styleId="a9"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a"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b"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c"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d"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e"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0"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1"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2"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3"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4"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5"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6"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7"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table" w:styleId="af8" w:customStyle="1">
    <w:basedOn w:val="TableNormal1"/>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pPr>
      <w:pBdr>
        <w:top w:space="0" w:sz="0" w:val="nil"/>
        <w:left w:space="0" w:sz="0" w:val="nil"/>
        <w:bottom w:space="0" w:sz="0" w:val="nil"/>
        <w:right w:space="0" w:sz="0" w:val="nil"/>
        <w:between w:space="0" w:sz="0" w:val="nil"/>
      </w:pBdr>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inaf.it/it/amministrazione-trasparente/disposizioni-generali/atti-generali/CodicedicomportamentoIstitutoNazionalediAstrofisicapdf.pdf/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SH7+Xi/FfmPk5Jjc2NzTFgIL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JaC4zZHk2dmttMgloLjMwajB6bGwyCWguMXQzaDVzZjIJaC4xZm9iOXRlMgloLjRkMzRvZzgyCWguMnM4ZXlvMTIJaC4xN2RwOHZ1MgloLjN6bnlzaDcyCWguMmV0OTJwMDIOaC5lcmtudmJraWhsMmcyCWguM3JkY3JqbjIJaC4yNmluMXJnOAByITE2Tl8wMXZzYVl1bGFYYXFlUkFPRlVXekpJc3Z0bTd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2024-05-14T21:54:00Z</dcterms:created>
  <dc:creator>Utente di Microsoft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MediaServiceImageTags</vt:lpwstr>
  </property>
</Properties>
</file>