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2"/>
        </w:tabs>
        <w:spacing w:line="276" w:lineRule="auto"/>
        <w:ind w:right="424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Modello autocertificazione antimafia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INAF – Direzione Generale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Viale del Parco Mellini 84, 00136, Roma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Gara europea a procedura aperta per l'acquisizione, per un periodo di tre anni, dell'uso delle licenze denominate 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Google Workspace Enterprise Starter, Google Workspace Enterprise Standard e Google Workspace Enterprise Plus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” e prodotte dalla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Google Incorporate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", destinate a soddisfare le esigenze sia della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che delle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Strutture di Ricerca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da aggiudicare con il criterio del prezzo più basso.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 CIG: B6087A0F38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6cyvdi9f1w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AUTOCERTIFICAZIONE RELATIVA ALLE INFORMAZIONI ANTIMAFIA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(ai sensi del D. lgs. 159/2011)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Dichiarazione sostitutiva di atto notorio (artt. 46 e 47 D.P.R. n. 445/2000)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30j0zll" w:id="2"/>
      <w:bookmarkEnd w:id="2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Il/La sottoscritto/a ________________________________ nato/a a _____________________ il _____________ Codice Fiscale _________________ residente in ______________ via ______ CAP ______ nella sua qualità di: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Titolare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legale rappresentante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Procuratore speciale o generale con mandato di rappresentanza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dell’operatore economico _______________________________________ con sede in ____________________________ via _____________________________ C.A.P. _________ Codice Fiscale _____________________________ Partita IVA ____________________</w:t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ai sensi e per gli effetti degli artt. 46 e 47 del D.P.R. n. 445/2000,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bookmarkStart w:colFirst="0" w:colLast="0" w:name="_heading=h.3znysh7" w:id="3"/>
      <w:bookmarkEnd w:id="3"/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che i soggetti da sottoporre a verifica antimafia </w:t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ex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art. 85 D. lgs. 159/2011 sono elencati di seguito: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(N.B. le istruzioni per l’identificazione dei soggetti tenuti alla presentazione della dichiarazione sostitutiva prevista dagli artt. 67 e 91, comma 4, del d. lgs. n. 159/2011 sono riportate nella tabella in calce al presente documento)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7512"/>
        <w:tblGridChange w:id="0">
          <w:tblGrid>
            <w:gridCol w:w="2978"/>
            <w:gridCol w:w="751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SOGGETTO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                                                Inserire ragione sociale completa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Cognome Nome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Ruolo ricoperto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Familiari conviventi maggiorenni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      NO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Elenco conviventi maggiorenni - riportare i dati seguenti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per ciascuno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di essi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  <w:rtl w:val="0"/>
        </w:rPr>
        <w:t xml:space="preserve">[ripetere per ogni soggetto da sottoporre a verifica antimafia]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per conto proprio e in nome e per conto dei soggetti individuati al precedente punto, conformemente alle disposizioni del Codice dei contratti pubblici, ai sensi della vigente normativa antimafia, l’insussistenza delle cause di decadenza, di sospensione o di divieto previste dall’art. 67 del D. Lgs. n. 159/2011 e s.m.i. o di un tentativo di infiltrazione mafiosa di cui all'art. 84, comma 4, del medesimo decreto;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Luogo e Data</w:t>
        <w:tab/>
        <w:tab/>
        <w:tab/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5040" w:firstLine="720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Firma elettronica qualificata/firma digitale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Segue - istruzioni per l’identificazione dei soggetti tenuti alla presentazione della dichiarazione sostitutiva prevista dagli artt. 67 e 91, comma 4, del d. lgs. n. 159/2011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fob9te" w:id="4"/>
      <w:bookmarkEnd w:id="4"/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ISTRUZIONI PER L’IDENTIFICAZIONE DEI SOGGETTI TENUTI ALLA PRESENTAZIONE DELLA DICHIARAZIONE SOSTITUTIVA PREVISTA DAGLI ARTT. 67 E 91, COMMA 4, DEL D. LGS. N. 159/2011</w:t>
      </w:r>
    </w:p>
    <w:tbl>
      <w:tblPr>
        <w:tblStyle w:val="Table2"/>
        <w:tblW w:w="10774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7371"/>
        <w:tblGridChange w:id="0">
          <w:tblGrid>
            <w:gridCol w:w="3403"/>
            <w:gridCol w:w="7371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60" w:before="60" w:line="276" w:lineRule="auto"/>
              <w:jc w:val="center"/>
              <w:rPr>
                <w:rFonts w:ascii="Titillium" w:cs="Titillium" w:eastAsia="Titillium" w:hAnsi="Titillium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b w:val="1"/>
                <w:sz w:val="21"/>
                <w:szCs w:val="21"/>
                <w:rtl w:val="0"/>
              </w:rPr>
              <w:t xml:space="preserve">Art. 85 del D. lgs 159/2011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Impresa individuale</w:t>
            </w:r>
          </w:p>
          <w:p w:rsidR="00000000" w:rsidDel="00000000" w:rsidP="00000000" w:rsidRDefault="00000000" w:rsidRPr="00000000" w14:paraId="0000005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c.1)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Titolare dell’impresa </w:t>
            </w:r>
          </w:p>
          <w:p w:rsidR="00000000" w:rsidDel="00000000" w:rsidP="00000000" w:rsidRDefault="00000000" w:rsidRPr="00000000" w14:paraId="0000005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5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Associazioni</w:t>
            </w:r>
          </w:p>
          <w:p w:rsidR="00000000" w:rsidDel="00000000" w:rsidP="00000000" w:rsidRDefault="00000000" w:rsidRPr="00000000" w14:paraId="0000005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a)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5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Collegio Sindacale (se previsto) </w:t>
            </w:r>
          </w:p>
          <w:p w:rsidR="00000000" w:rsidDel="00000000" w:rsidP="00000000" w:rsidRDefault="00000000" w:rsidRPr="00000000" w14:paraId="0000005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direttore tecnico (se previsto) </w:t>
            </w:r>
          </w:p>
          <w:p w:rsidR="00000000" w:rsidDel="00000000" w:rsidP="00000000" w:rsidRDefault="00000000" w:rsidRPr="00000000" w14:paraId="0000005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5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 anche consortili, società cooperative, </w:t>
            </w:r>
          </w:p>
          <w:p w:rsidR="00000000" w:rsidDel="00000000" w:rsidP="00000000" w:rsidRDefault="00000000" w:rsidRPr="00000000" w14:paraId="0000006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cooperativi, </w:t>
            </w:r>
          </w:p>
          <w:p w:rsidR="00000000" w:rsidDel="00000000" w:rsidP="00000000" w:rsidRDefault="00000000" w:rsidRPr="00000000" w14:paraId="0000006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con attività esterna </w:t>
            </w:r>
          </w:p>
          <w:p w:rsidR="00000000" w:rsidDel="00000000" w:rsidP="00000000" w:rsidRDefault="00000000" w:rsidRPr="00000000" w14:paraId="0000006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b)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6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 </w:t>
            </w:r>
          </w:p>
          <w:p w:rsidR="00000000" w:rsidDel="00000000" w:rsidP="00000000" w:rsidRDefault="00000000" w:rsidRPr="00000000" w14:paraId="0000006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</w:t>
            </w:r>
          </w:p>
          <w:p w:rsidR="00000000" w:rsidDel="00000000" w:rsidP="00000000" w:rsidRDefault="00000000" w:rsidRPr="00000000" w14:paraId="0000006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6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6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000000" w:rsidDel="00000000" w:rsidP="00000000" w:rsidRDefault="00000000" w:rsidRPr="00000000" w14:paraId="0000006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capitali: </w:t>
            </w:r>
          </w:p>
          <w:p w:rsidR="00000000" w:rsidDel="00000000" w:rsidP="00000000" w:rsidRDefault="00000000" w:rsidRPr="00000000" w14:paraId="0000006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 azioni (S.p.A.) </w:t>
            </w:r>
          </w:p>
          <w:p w:rsidR="00000000" w:rsidDel="00000000" w:rsidP="00000000" w:rsidRDefault="00000000" w:rsidRPr="00000000" w14:paraId="0000006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a responsabilità limitata (S.r.l.) </w:t>
            </w:r>
          </w:p>
          <w:p w:rsidR="00000000" w:rsidDel="00000000" w:rsidP="00000000" w:rsidRDefault="00000000" w:rsidRPr="00000000" w14:paraId="0000006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per azioni (s.a.p.a.) </w:t>
            </w:r>
          </w:p>
          <w:p w:rsidR="00000000" w:rsidDel="00000000" w:rsidP="00000000" w:rsidRDefault="00000000" w:rsidRPr="00000000" w14:paraId="0000006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c)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7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</w:t>
            </w:r>
          </w:p>
          <w:p w:rsidR="00000000" w:rsidDel="00000000" w:rsidP="00000000" w:rsidRDefault="00000000" w:rsidRPr="00000000" w14:paraId="0000007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socio di maggioranza (nelle società con un nr. di soci pari o inferiore a 4) </w:t>
            </w:r>
          </w:p>
          <w:p w:rsidR="00000000" w:rsidDel="00000000" w:rsidP="00000000" w:rsidRDefault="00000000" w:rsidRPr="00000000" w14:paraId="0000007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socio in caso di società unipersonale</w:t>
            </w:r>
          </w:p>
          <w:p w:rsidR="00000000" w:rsidDel="00000000" w:rsidP="00000000" w:rsidRDefault="00000000" w:rsidRPr="00000000" w14:paraId="0000007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8.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sz w:val="21"/>
                <w:szCs w:val="21"/>
                <w:rtl w:val="0"/>
              </w:rPr>
              <w:t xml:space="preserve">ex</w:t>
            </w: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 art. 2602 c.c. non aventi attività esterna e per i gruppi europei di interesse economico </w:t>
            </w:r>
          </w:p>
          <w:p w:rsidR="00000000" w:rsidDel="00000000" w:rsidP="00000000" w:rsidRDefault="00000000" w:rsidRPr="00000000" w14:paraId="0000007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d)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legale rappresentante </w:t>
            </w:r>
          </w:p>
          <w:p w:rsidR="00000000" w:rsidDel="00000000" w:rsidP="00000000" w:rsidRDefault="00000000" w:rsidRPr="00000000" w14:paraId="0000007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eventuali componenti dell’organo di amministrazione </w:t>
            </w:r>
          </w:p>
          <w:p w:rsidR="00000000" w:rsidDel="00000000" w:rsidP="00000000" w:rsidRDefault="00000000" w:rsidRPr="00000000" w14:paraId="0000007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imprenditori e società consorziate (e relativi legali rappresentanti ed eventuali componenti dell’organo di amministrazione) </w:t>
            </w:r>
          </w:p>
          <w:p w:rsidR="00000000" w:rsidDel="00000000" w:rsidP="00000000" w:rsidRDefault="00000000" w:rsidRPr="00000000" w14:paraId="0000007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semplice e in nome collettivo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e)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tutti i soci </w:t>
            </w:r>
          </w:p>
          <w:p w:rsidR="00000000" w:rsidDel="00000000" w:rsidP="00000000" w:rsidRDefault="00000000" w:rsidRPr="00000000" w14:paraId="0000008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8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semplice</w:t>
            </w:r>
          </w:p>
          <w:p w:rsidR="00000000" w:rsidDel="00000000" w:rsidP="00000000" w:rsidRDefault="00000000" w:rsidRPr="00000000" w14:paraId="0000008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f)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accomandatari </w:t>
            </w:r>
          </w:p>
          <w:p w:rsidR="00000000" w:rsidDel="00000000" w:rsidP="00000000" w:rsidRDefault="00000000" w:rsidRPr="00000000" w14:paraId="0000008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civile)4. 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con sede secondaria in Italia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g)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le rappresentano stabilmente in Italia </w:t>
            </w:r>
          </w:p>
          <w:p w:rsidR="00000000" w:rsidDel="00000000" w:rsidP="00000000" w:rsidRDefault="00000000" w:rsidRPr="00000000" w14:paraId="0000008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9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Raggruppamenti temporanei di imprese</w:t>
            </w:r>
          </w:p>
          <w:p w:rsidR="00000000" w:rsidDel="00000000" w:rsidP="00000000" w:rsidRDefault="00000000" w:rsidRPr="00000000" w14:paraId="0000009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h)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tutte le imprese costituenti il Raggruppamento anche se aventi sede all’ estero, nonché le persone fisiche presenti al loro interno, come individuate per ciascuna tipologia di imprese e società </w:t>
            </w:r>
          </w:p>
          <w:p w:rsidR="00000000" w:rsidDel="00000000" w:rsidP="00000000" w:rsidRDefault="00000000" w:rsidRPr="00000000" w14:paraId="0000009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personali (oltre a quanto espressamente previsto per le società in nome collettivo e accomandita semplice) </w:t>
            </w:r>
          </w:p>
          <w:p w:rsidR="00000000" w:rsidDel="00000000" w:rsidP="00000000" w:rsidRDefault="00000000" w:rsidRPr="00000000" w14:paraId="0000009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i)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persone fisiche delle società personali o di capitali che sono socie della società personale esaminata </w:t>
            </w:r>
          </w:p>
          <w:p w:rsidR="00000000" w:rsidDel="00000000" w:rsidP="00000000" w:rsidRDefault="00000000" w:rsidRPr="00000000" w14:paraId="0000009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</w:t>
            </w:r>
          </w:p>
          <w:p w:rsidR="00000000" w:rsidDel="00000000" w:rsidP="00000000" w:rsidRDefault="00000000" w:rsidRPr="00000000" w14:paraId="0000009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prive di sede secondaria con rappresentanza stabile in Italia </w:t>
            </w:r>
          </w:p>
          <w:p w:rsidR="00000000" w:rsidDel="00000000" w:rsidP="00000000" w:rsidRDefault="00000000" w:rsidRPr="00000000" w14:paraId="0000009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ter)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esercitano poteri di amministrazione, rappresentanza o direzione dell’impresa </w:t>
            </w:r>
          </w:p>
          <w:p w:rsidR="00000000" w:rsidDel="00000000" w:rsidP="00000000" w:rsidRDefault="00000000" w:rsidRPr="00000000" w14:paraId="000000A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A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familiari conviventi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quanto concerne la nozione di “familiari conviventi”, si precisa che per essi si intende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chiunque conviva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 con i soggetti da controllare ex art. 85 del D. lgs. 159/2011,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purché maggiorenne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socio di maggioranza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socio di maggioranza si intende “</w:t>
      </w:r>
      <w:r w:rsidDel="00000000" w:rsidR="00000000" w:rsidRPr="00000000">
        <w:rPr>
          <w:rFonts w:ascii="Titillium" w:cs="Titillium" w:eastAsia="Titillium" w:hAnsi="Titillium"/>
          <w:i w:val="1"/>
          <w:sz w:val="21"/>
          <w:szCs w:val="21"/>
          <w:rtl w:val="0"/>
        </w:rPr>
        <w:t xml:space="preserve">la persona fisica o giuridica che detiene la maggioranza relativa delle quote o azioni della società interessata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”. Nel caso di più soci (es. 3 o 4) con la medesima percentuale di quote o azioni del capitale sociale della società interessata, non è richiesta alcuna documentazione relativa al socio di maggioranza. La documentazione dovrà, invece essere prodotta nel caso in cui i soci (persone fisiche o giuridiche) della società interessata al rilascio della comunicazione o informazione antimafia siano ciascuno titolari di quote o azioni pari al 50% del capitale sociale. Ciò in coerenza con l’art. 91, comma 5 del D. lgs. 159/2011 e la sentenza n. 4654 del 28/08/2012 del Consiglio di Stato Sez. V.</w:t>
      </w:r>
    </w:p>
    <w:sectPr>
      <w:headerReference r:id="rId7" w:type="default"/>
      <w:footerReference r:id="rId8" w:type="default"/>
      <w:pgSz w:h="16840" w:w="11900" w:orient="portrait"/>
      <w:pgMar w:bottom="1134" w:top="2098" w:left="1134" w:right="703" w:header="23" w:footer="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MS Gothic"/>
  <w:font w:name="Titill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 w:val="1"/>
    <w:rsid w:val="000151A3"/>
    <w:pPr>
      <w:ind w:left="720"/>
      <w:contextualSpacing w:val="1"/>
    </w:pPr>
  </w:style>
  <w:style w:type="character" w:styleId="ParagrafoelencoCarattere" w:customStyle="1">
    <w:name w:val="Paragrafo elenco Carattere"/>
    <w:aliases w:val="Bullet edison Carattere,Paragrafo elenco 2 Carattere"/>
    <w:basedOn w:val="Carpredefinitoparagrafo"/>
    <w:link w:val="Paragrafoelenco"/>
    <w:uiPriority w:val="99"/>
    <w:qFormat w:val="1"/>
    <w:rsid w:val="00297CB2"/>
  </w:style>
  <w:style w:type="paragraph" w:styleId="Revisione">
    <w:name w:val="Revision"/>
    <w:hidden w:val="1"/>
    <w:uiPriority w:val="99"/>
    <w:semiHidden w:val="1"/>
    <w:rsid w:val="00761EC3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346B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346B9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46B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346B9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346B95"/>
    <w:rPr>
      <w:b w:val="1"/>
      <w:bCs w:val="1"/>
      <w:sz w:val="20"/>
      <w:szCs w:val="20"/>
    </w:rPr>
  </w:style>
  <w:style w:type="character" w:styleId="Collegamentoipertestuale">
    <w:name w:val="Hyperlink"/>
    <w:rsid w:val="004B02D6"/>
    <w:rPr>
      <w:color w:val="0000ff"/>
      <w:u w:val="single"/>
    </w:rPr>
  </w:style>
  <w:style w:type="paragraph" w:styleId="sche3" w:customStyle="1">
    <w:name w:val="sche_3"/>
    <w:rsid w:val="004B02D6"/>
    <w:pPr>
      <w:widowControl w:val="0"/>
      <w:suppressAutoHyphens w:val="1"/>
      <w:jc w:val="both"/>
    </w:pPr>
    <w:rPr>
      <w:rFonts w:ascii="Times New Roman" w:cs="Times New Roman" w:eastAsia="Times New Roman" w:hAnsi="Times New Roman"/>
      <w:sz w:val="20"/>
      <w:szCs w:val="20"/>
      <w:lang w:eastAsia="zh-CN" w:val="en-US"/>
    </w:rPr>
  </w:style>
  <w:style w:type="paragraph" w:styleId="Corpodeltesto31" w:customStyle="1">
    <w:name w:val="Corpo del testo 31"/>
    <w:basedOn w:val="Normale"/>
    <w:rsid w:val="004B02D6"/>
    <w:pPr>
      <w:suppressAutoHyphens w:val="1"/>
      <w:spacing w:after="120"/>
    </w:pPr>
    <w:rPr>
      <w:rFonts w:ascii="Times New Roman" w:cs="Times New Roman" w:eastAsia="Times New Roman" w:hAnsi="Times New Roman"/>
      <w:sz w:val="16"/>
      <w:szCs w:val="16"/>
      <w:lang w:eastAsia="zh-CN" w:val="x-none"/>
    </w:rPr>
  </w:style>
  <w:style w:type="paragraph" w:styleId="Testonormale1" w:customStyle="1">
    <w:name w:val="Testo normale1"/>
    <w:basedOn w:val="Normale"/>
    <w:rsid w:val="004B02D6"/>
    <w:pPr>
      <w:suppressAutoHyphens w:val="1"/>
      <w:jc w:val="both"/>
    </w:pPr>
    <w:rPr>
      <w:rFonts w:ascii="Courier New" w:cs="Courier New" w:eastAsia="Times New Roman" w:hAnsi="Courier New"/>
      <w:sz w:val="20"/>
      <w:szCs w:val="20"/>
      <w:lang w:eastAsia="zh-CN" w:val="x-none"/>
    </w:rPr>
  </w:style>
  <w:style w:type="paragraph" w:styleId="Paragrafoelenco1" w:customStyle="1">
    <w:name w:val="Paragrafo elenco1"/>
    <w:basedOn w:val="Normale"/>
    <w:uiPriority w:val="99"/>
    <w:qFormat w:val="1"/>
    <w:rsid w:val="004B02D6"/>
    <w:pPr>
      <w:ind w:left="708"/>
    </w:pPr>
    <w:rPr>
      <w:rFonts w:ascii="Times New Roman" w:cs="Times New Roman" w:eastAsia="Times New Roman" w:hAnsi="Times New Roman"/>
      <w:color w:val="00000a"/>
      <w:kern w:val="1"/>
    </w:rPr>
  </w:style>
  <w:style w:type="paragraph" w:styleId="Corpodeltesto21" w:customStyle="1">
    <w:name w:val="Corpo del testo 21"/>
    <w:basedOn w:val="Normale"/>
    <w:rsid w:val="00FA3EAA"/>
    <w:pPr>
      <w:widowControl w:val="0"/>
      <w:suppressAutoHyphens w:val="1"/>
      <w:jc w:val="both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8B1BC0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8B1B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8B1BC0"/>
    <w:rPr>
      <w:vertAlign w:val="superscrip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93361E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631A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B38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7691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7691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KbqfJ+FNIfHMYWGSYtdd9GYUQ==">CgMxLjAyCGguZ2pkZ3hzMg5oLjE2Y3l2ZGk5ZjF3ZzIJaC4zMGowemxsMgloLjN6bnlzaDcyCWguMWZvYjl0ZTgAciExRlBpMjRSZnlpODhjTU82QnRyeVBBVFR4Rk9iMGJLTTE=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2024-05-14T22:05:00Z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>MediaServiceImageTags</vt:lpwstr>
  </property>
</Properties>
</file>