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7F" w:rsidRPr="00531086" w:rsidRDefault="00A65A7F" w:rsidP="00A65A7F">
      <w:pPr>
        <w:pStyle w:val="Heading1"/>
      </w:pPr>
      <w:r w:rsidRPr="00531086">
        <w:t>Breve descrizione dell’iniziativa</w:t>
      </w:r>
    </w:p>
    <w:p w:rsidR="00A65A7F" w:rsidRDefault="00A65A7F" w:rsidP="00A65A7F"/>
    <w:p w:rsidR="00A65A7F" w:rsidRDefault="00A65A7F" w:rsidP="00A65A7F">
      <w:pPr>
        <w:spacing w:line="360" w:lineRule="auto"/>
        <w:jc w:val="both"/>
        <w:rPr>
          <w:rFonts w:ascii="Trebuchet MS" w:hAnsi="Trebuchet MS" w:cs="Arial"/>
          <w:sz w:val="20"/>
          <w:szCs w:val="20"/>
        </w:rPr>
      </w:pPr>
      <w:r>
        <w:rPr>
          <w:rFonts w:ascii="Trebuchet MS" w:hAnsi="Trebuchet MS" w:cs="Arial"/>
          <w:sz w:val="20"/>
          <w:szCs w:val="20"/>
        </w:rPr>
        <w:t xml:space="preserve">Nell’ambito della propria partecipazione al progetto internazionale </w:t>
      </w:r>
      <w:proofErr w:type="spellStart"/>
      <w:r>
        <w:rPr>
          <w:rFonts w:ascii="Trebuchet MS" w:hAnsi="Trebuchet MS" w:cs="Arial"/>
          <w:sz w:val="20"/>
          <w:szCs w:val="20"/>
        </w:rPr>
        <w:t>Cherenkov</w:t>
      </w:r>
      <w:proofErr w:type="spellEnd"/>
      <w:r>
        <w:rPr>
          <w:rFonts w:ascii="Trebuchet MS" w:hAnsi="Trebuchet MS" w:cs="Arial"/>
          <w:sz w:val="20"/>
          <w:szCs w:val="20"/>
        </w:rPr>
        <w:t xml:space="preserve"> </w:t>
      </w:r>
      <w:proofErr w:type="spellStart"/>
      <w:r>
        <w:rPr>
          <w:rFonts w:ascii="Trebuchet MS" w:hAnsi="Trebuchet MS" w:cs="Arial"/>
          <w:sz w:val="20"/>
          <w:szCs w:val="20"/>
        </w:rPr>
        <w:t>Telescope</w:t>
      </w:r>
      <w:proofErr w:type="spellEnd"/>
      <w:r>
        <w:rPr>
          <w:rFonts w:ascii="Trebuchet MS" w:hAnsi="Trebuchet MS" w:cs="Arial"/>
          <w:sz w:val="20"/>
          <w:szCs w:val="20"/>
        </w:rPr>
        <w:t xml:space="preserve"> Array</w:t>
      </w:r>
      <w:proofErr w:type="gramStart"/>
      <w:r>
        <w:rPr>
          <w:rFonts w:ascii="Trebuchet MS" w:hAnsi="Trebuchet MS" w:cs="Arial"/>
          <w:sz w:val="20"/>
          <w:szCs w:val="20"/>
        </w:rPr>
        <w:t xml:space="preserve">  </w:t>
      </w:r>
      <w:proofErr w:type="gramEnd"/>
      <w:r>
        <w:rPr>
          <w:rFonts w:ascii="Trebuchet MS" w:hAnsi="Trebuchet MS" w:cs="Arial"/>
          <w:sz w:val="20"/>
          <w:szCs w:val="20"/>
        </w:rPr>
        <w:t xml:space="preserve">(CTA) e nel contesto del programma denominato “Astronomia Industriale” INAF intende procedere all’acquisto di un numero di unità (indicativamente 9) complete ed installate di Telescopi </w:t>
      </w:r>
      <w:proofErr w:type="spellStart"/>
      <w:r>
        <w:rPr>
          <w:rFonts w:ascii="Trebuchet MS" w:hAnsi="Trebuchet MS" w:cs="Arial"/>
          <w:sz w:val="20"/>
          <w:szCs w:val="20"/>
        </w:rPr>
        <w:t>Cherenkov</w:t>
      </w:r>
      <w:proofErr w:type="spellEnd"/>
      <w:r>
        <w:rPr>
          <w:rFonts w:ascii="Trebuchet MS" w:hAnsi="Trebuchet MS" w:cs="Arial"/>
          <w:sz w:val="20"/>
          <w:szCs w:val="20"/>
        </w:rPr>
        <w:t xml:space="preserve"> Modello SST-ASTRI-2M. </w:t>
      </w:r>
    </w:p>
    <w:p w:rsidR="00A65A7F" w:rsidRDefault="00A65A7F" w:rsidP="00A65A7F">
      <w:pPr>
        <w:spacing w:line="360" w:lineRule="auto"/>
        <w:jc w:val="both"/>
        <w:rPr>
          <w:rFonts w:ascii="Trebuchet MS" w:hAnsi="Trebuchet MS" w:cs="Arial"/>
          <w:sz w:val="20"/>
          <w:szCs w:val="20"/>
        </w:rPr>
      </w:pPr>
    </w:p>
    <w:p w:rsidR="00A65A7F" w:rsidRDefault="00A65A7F" w:rsidP="00A65A7F">
      <w:pPr>
        <w:spacing w:line="360" w:lineRule="auto"/>
        <w:jc w:val="both"/>
        <w:rPr>
          <w:rFonts w:ascii="Trebuchet MS" w:hAnsi="Trebuchet MS" w:cs="Arial"/>
          <w:sz w:val="20"/>
          <w:szCs w:val="20"/>
        </w:rPr>
      </w:pPr>
      <w:r>
        <w:rPr>
          <w:rFonts w:ascii="Trebuchet MS" w:hAnsi="Trebuchet MS" w:cs="Arial"/>
          <w:sz w:val="20"/>
          <w:szCs w:val="20"/>
        </w:rPr>
        <w:t xml:space="preserve">Il telescopio </w:t>
      </w:r>
      <w:proofErr w:type="gramStart"/>
      <w:r>
        <w:rPr>
          <w:rFonts w:ascii="Trebuchet MS" w:hAnsi="Trebuchet MS" w:cs="Arial"/>
          <w:sz w:val="20"/>
          <w:szCs w:val="20"/>
        </w:rPr>
        <w:t>ASTR</w:t>
      </w:r>
      <w:r>
        <w:rPr>
          <w:rFonts w:ascii="Trebuchet MS" w:hAnsi="Trebuchet MS" w:cs="Arial"/>
          <w:sz w:val="20"/>
          <w:szCs w:val="20"/>
        </w:rPr>
        <w:t>I-SST-2M</w:t>
      </w:r>
      <w:proofErr w:type="gramEnd"/>
      <w:r>
        <w:rPr>
          <w:rFonts w:ascii="Trebuchet MS" w:hAnsi="Trebuchet MS" w:cs="Arial"/>
          <w:sz w:val="20"/>
          <w:szCs w:val="20"/>
        </w:rPr>
        <w:t xml:space="preserve"> è costituito </w:t>
      </w:r>
      <w:r>
        <w:rPr>
          <w:rFonts w:ascii="Trebuchet MS" w:hAnsi="Trebuchet MS" w:cs="Arial"/>
          <w:sz w:val="20"/>
          <w:szCs w:val="20"/>
        </w:rPr>
        <w:t>dai seguenti sottosistemi:</w:t>
      </w:r>
    </w:p>
    <w:p w:rsidR="00A65A7F" w:rsidRDefault="00A65A7F" w:rsidP="00A65A7F">
      <w:pPr>
        <w:pStyle w:val="ListParagraph"/>
        <w:numPr>
          <w:ilvl w:val="0"/>
          <w:numId w:val="1"/>
        </w:numPr>
        <w:spacing w:line="360" w:lineRule="auto"/>
        <w:jc w:val="both"/>
        <w:rPr>
          <w:rFonts w:ascii="Trebuchet MS" w:hAnsi="Trebuchet MS" w:cs="Arial"/>
          <w:sz w:val="20"/>
          <w:szCs w:val="20"/>
        </w:rPr>
      </w:pPr>
      <w:proofErr w:type="gramStart"/>
      <w:r w:rsidRPr="00A65A7F">
        <w:rPr>
          <w:rFonts w:ascii="Trebuchet MS" w:hAnsi="Trebuchet MS" w:cs="Arial"/>
          <w:b/>
          <w:sz w:val="20"/>
          <w:szCs w:val="20"/>
        </w:rPr>
        <w:t>Struttura meccanica</w:t>
      </w:r>
      <w:r w:rsidRPr="00A65A7F">
        <w:rPr>
          <w:rFonts w:ascii="Trebuchet MS" w:hAnsi="Trebuchet MS" w:cs="Arial"/>
          <w:sz w:val="20"/>
          <w:szCs w:val="20"/>
        </w:rPr>
        <w:t xml:space="preserve"> movimentata per il supporto delle ottiche e della strumentazione di piano focale e relativo controllo di movimento</w:t>
      </w:r>
      <w:proofErr w:type="gramEnd"/>
      <w:r w:rsidRPr="00A65A7F">
        <w:rPr>
          <w:rFonts w:ascii="Trebuchet MS" w:hAnsi="Trebuchet MS" w:cs="Arial"/>
          <w:sz w:val="20"/>
          <w:szCs w:val="20"/>
        </w:rPr>
        <w:t xml:space="preserve">. La struttura meccanica del telescopio è alta circa 8 metri mentre il diametro del supporto dello specchio principale è </w:t>
      </w:r>
      <w:proofErr w:type="gramStart"/>
      <w:r w:rsidRPr="00A65A7F">
        <w:rPr>
          <w:rFonts w:ascii="Trebuchet MS" w:hAnsi="Trebuchet MS" w:cs="Arial"/>
          <w:sz w:val="20"/>
          <w:szCs w:val="20"/>
        </w:rPr>
        <w:t>di</w:t>
      </w:r>
      <w:proofErr w:type="gramEnd"/>
      <w:r w:rsidRPr="00A65A7F">
        <w:rPr>
          <w:rFonts w:ascii="Trebuchet MS" w:hAnsi="Trebuchet MS" w:cs="Arial"/>
          <w:sz w:val="20"/>
          <w:szCs w:val="20"/>
        </w:rPr>
        <w:t xml:space="preserve"> circa 6 metri. La movimentazione è basata su un sistema alt-azimutale. La struttura ha la capacità di muoversi tra zero e </w:t>
      </w:r>
      <w:proofErr w:type="gramStart"/>
      <w:r w:rsidRPr="00A65A7F">
        <w:rPr>
          <w:rFonts w:ascii="Trebuchet MS" w:hAnsi="Trebuchet MS" w:cs="Arial"/>
          <w:sz w:val="20"/>
          <w:szCs w:val="20"/>
        </w:rPr>
        <w:t>90</w:t>
      </w:r>
      <w:proofErr w:type="gramEnd"/>
      <w:r w:rsidRPr="00A65A7F">
        <w:rPr>
          <w:rFonts w:ascii="Trebuchet MS" w:hAnsi="Trebuchet MS" w:cs="Arial"/>
          <w:sz w:val="20"/>
          <w:szCs w:val="20"/>
        </w:rPr>
        <w:t xml:space="preserve"> gradi in elevazione e di compiere un giro e mezzo intorno all’asse dell’azimut (540 gradi). Il sottosistema comprende anche la parte di meccatronica (motori e drive) e tutta l’elettronica di potenza che da energia a tutte le utenze del telescopio. </w:t>
      </w:r>
    </w:p>
    <w:p w:rsidR="00A65A7F" w:rsidRPr="00A65A7F" w:rsidRDefault="00A65A7F" w:rsidP="00A65A7F">
      <w:pPr>
        <w:pStyle w:val="ListParagraph"/>
        <w:numPr>
          <w:ilvl w:val="0"/>
          <w:numId w:val="1"/>
        </w:numPr>
        <w:spacing w:line="360" w:lineRule="auto"/>
        <w:jc w:val="both"/>
        <w:rPr>
          <w:rFonts w:ascii="Trebuchet MS" w:hAnsi="Trebuchet MS" w:cs="Arial"/>
          <w:sz w:val="20"/>
          <w:szCs w:val="20"/>
        </w:rPr>
      </w:pPr>
      <w:r w:rsidRPr="00A65A7F">
        <w:rPr>
          <w:rFonts w:ascii="Trebuchet MS" w:hAnsi="Trebuchet MS" w:cs="Arial"/>
          <w:b/>
          <w:sz w:val="20"/>
          <w:szCs w:val="20"/>
        </w:rPr>
        <w:t>Sistema Ottico</w:t>
      </w:r>
      <w:r w:rsidRPr="00A65A7F">
        <w:rPr>
          <w:rFonts w:ascii="Trebuchet MS" w:hAnsi="Trebuchet MS" w:cs="Arial"/>
          <w:sz w:val="20"/>
          <w:szCs w:val="20"/>
        </w:rPr>
        <w:t xml:space="preserve"> è costituito da uno specchio primario segmentato, costituito da </w:t>
      </w:r>
      <w:proofErr w:type="gramStart"/>
      <w:r w:rsidRPr="00A65A7F">
        <w:rPr>
          <w:rFonts w:ascii="Trebuchet MS" w:hAnsi="Trebuchet MS" w:cs="Arial"/>
          <w:sz w:val="20"/>
          <w:szCs w:val="20"/>
        </w:rPr>
        <w:t>18</w:t>
      </w:r>
      <w:proofErr w:type="gramEnd"/>
      <w:r w:rsidRPr="00A65A7F">
        <w:rPr>
          <w:rFonts w:ascii="Trebuchet MS" w:hAnsi="Trebuchet MS" w:cs="Arial"/>
          <w:sz w:val="20"/>
          <w:szCs w:val="20"/>
        </w:rPr>
        <w:t xml:space="preserve"> specchi e un secondario monolitico, ottenuti per tecnica di replica a freddo o equivalente. </w:t>
      </w:r>
    </w:p>
    <w:p w:rsidR="00A65A7F" w:rsidRDefault="00A65A7F" w:rsidP="00A65A7F">
      <w:pPr>
        <w:pStyle w:val="ListParagraph"/>
        <w:numPr>
          <w:ilvl w:val="0"/>
          <w:numId w:val="1"/>
        </w:numPr>
        <w:spacing w:line="360" w:lineRule="auto"/>
        <w:jc w:val="both"/>
        <w:rPr>
          <w:rFonts w:ascii="Trebuchet MS" w:hAnsi="Trebuchet MS" w:cs="Arial"/>
          <w:sz w:val="20"/>
          <w:szCs w:val="20"/>
        </w:rPr>
      </w:pPr>
      <w:r w:rsidRPr="0062769D">
        <w:rPr>
          <w:rFonts w:ascii="Trebuchet MS" w:hAnsi="Trebuchet MS" w:cs="Arial"/>
          <w:b/>
          <w:sz w:val="20"/>
          <w:szCs w:val="20"/>
        </w:rPr>
        <w:t xml:space="preserve">Camera </w:t>
      </w:r>
      <w:proofErr w:type="spellStart"/>
      <w:r w:rsidRPr="0062769D">
        <w:rPr>
          <w:rFonts w:ascii="Trebuchet MS" w:hAnsi="Trebuchet MS" w:cs="Arial"/>
          <w:b/>
          <w:sz w:val="20"/>
          <w:szCs w:val="20"/>
        </w:rPr>
        <w:t>Cherenkov</w:t>
      </w:r>
      <w:proofErr w:type="spellEnd"/>
      <w:r w:rsidRPr="0062769D">
        <w:rPr>
          <w:rFonts w:ascii="Trebuchet MS" w:hAnsi="Trebuchet MS" w:cs="Arial"/>
          <w:b/>
          <w:sz w:val="20"/>
          <w:szCs w:val="20"/>
        </w:rPr>
        <w:t xml:space="preserve"> di Piano Focale, </w:t>
      </w:r>
      <w:r w:rsidRPr="0062769D">
        <w:rPr>
          <w:rFonts w:ascii="Trebuchet MS" w:hAnsi="Trebuchet MS" w:cs="Arial"/>
          <w:sz w:val="20"/>
          <w:szCs w:val="20"/>
        </w:rPr>
        <w:t xml:space="preserve">basata su </w:t>
      </w:r>
      <w:proofErr w:type="spellStart"/>
      <w:r w:rsidRPr="0062769D">
        <w:rPr>
          <w:rFonts w:ascii="Trebuchet MS" w:hAnsi="Trebuchet MS" w:cs="Arial"/>
          <w:sz w:val="20"/>
          <w:szCs w:val="20"/>
        </w:rPr>
        <w:t>SiliconPM</w:t>
      </w:r>
      <w:proofErr w:type="spellEnd"/>
      <w:r w:rsidRPr="0062769D">
        <w:rPr>
          <w:rFonts w:ascii="Trebuchet MS" w:hAnsi="Trebuchet MS" w:cs="Arial"/>
          <w:sz w:val="20"/>
          <w:szCs w:val="20"/>
        </w:rPr>
        <w:t xml:space="preserve"> e su </w:t>
      </w:r>
      <w:proofErr w:type="gramStart"/>
      <w:r w:rsidRPr="0062769D">
        <w:rPr>
          <w:rFonts w:ascii="Trebuchet MS" w:hAnsi="Trebuchet MS" w:cs="Arial"/>
          <w:sz w:val="20"/>
          <w:szCs w:val="20"/>
        </w:rPr>
        <w:t xml:space="preserve">una </w:t>
      </w:r>
      <w:proofErr w:type="gramEnd"/>
      <w:r w:rsidRPr="0062769D">
        <w:rPr>
          <w:rFonts w:ascii="Trebuchet MS" w:hAnsi="Trebuchet MS" w:cs="Arial"/>
          <w:sz w:val="20"/>
          <w:szCs w:val="20"/>
        </w:rPr>
        <w:t>elettronica veloce di nuova concezione</w:t>
      </w:r>
      <w:r>
        <w:rPr>
          <w:rFonts w:ascii="Trebuchet MS" w:hAnsi="Trebuchet MS" w:cs="Arial"/>
          <w:sz w:val="20"/>
          <w:szCs w:val="20"/>
        </w:rPr>
        <w:t>, basata su ASICS per la parte analogica e FPGA per la parte di digitalizzazione e trattamento dei dati.</w:t>
      </w:r>
      <w:r w:rsidRPr="0062769D">
        <w:rPr>
          <w:rFonts w:ascii="Trebuchet MS" w:hAnsi="Trebuchet MS" w:cs="Arial"/>
          <w:sz w:val="20"/>
          <w:szCs w:val="20"/>
        </w:rPr>
        <w:t xml:space="preserve">  </w:t>
      </w:r>
      <w:proofErr w:type="gramStart"/>
      <w:r w:rsidRPr="0062769D">
        <w:rPr>
          <w:rFonts w:ascii="Trebuchet MS" w:hAnsi="Trebuchet MS" w:cs="Arial"/>
          <w:sz w:val="20"/>
          <w:szCs w:val="20"/>
        </w:rPr>
        <w:t>(L’</w:t>
      </w:r>
      <w:proofErr w:type="gramEnd"/>
      <w:r w:rsidRPr="0062769D">
        <w:rPr>
          <w:rFonts w:ascii="Trebuchet MS" w:hAnsi="Trebuchet MS" w:cs="Arial"/>
          <w:sz w:val="20"/>
          <w:szCs w:val="20"/>
        </w:rPr>
        <w:t xml:space="preserve">elettronica della camera, installata in una meccanica dalle dimensioni pari ad un cilindro di altezza 0.5 metri e dal diametro di 0.5 metri ha un peso stimabile di </w:t>
      </w:r>
      <w:r w:rsidRPr="00995054">
        <w:rPr>
          <w:rFonts w:ascii="Trebuchet MS" w:hAnsi="Trebuchet MS" w:cs="Arial"/>
          <w:sz w:val="20"/>
          <w:szCs w:val="20"/>
        </w:rPr>
        <w:t>una 60 di chilogrammi.</w:t>
      </w:r>
      <w:r>
        <w:rPr>
          <w:rFonts w:ascii="Trebuchet MS" w:hAnsi="Trebuchet MS" w:cs="Arial"/>
          <w:sz w:val="20"/>
          <w:szCs w:val="20"/>
        </w:rPr>
        <w:t xml:space="preserve"> La parte di rivelatori </w:t>
      </w:r>
      <w:proofErr w:type="gramStart"/>
      <w:r>
        <w:rPr>
          <w:rFonts w:ascii="Trebuchet MS" w:hAnsi="Trebuchet MS" w:cs="Arial"/>
          <w:sz w:val="20"/>
          <w:szCs w:val="20"/>
        </w:rPr>
        <w:t>viene</w:t>
      </w:r>
      <w:proofErr w:type="gramEnd"/>
      <w:r>
        <w:rPr>
          <w:rFonts w:ascii="Trebuchet MS" w:hAnsi="Trebuchet MS" w:cs="Arial"/>
          <w:sz w:val="20"/>
          <w:szCs w:val="20"/>
        </w:rPr>
        <w:t xml:space="preserve"> tenuta ad una temperatura costante da un sistema automatico di termoregolazione.</w:t>
      </w:r>
    </w:p>
    <w:p w:rsidR="00A65A7F" w:rsidRDefault="00A65A7F" w:rsidP="00A65A7F">
      <w:pPr>
        <w:pStyle w:val="ListParagraph"/>
        <w:numPr>
          <w:ilvl w:val="0"/>
          <w:numId w:val="1"/>
        </w:numPr>
        <w:spacing w:line="360" w:lineRule="auto"/>
        <w:jc w:val="both"/>
        <w:rPr>
          <w:rFonts w:ascii="Trebuchet MS" w:hAnsi="Trebuchet MS" w:cs="Arial"/>
          <w:sz w:val="20"/>
          <w:szCs w:val="20"/>
        </w:rPr>
      </w:pPr>
      <w:r w:rsidRPr="00A26F79">
        <w:rPr>
          <w:rFonts w:ascii="Trebuchet MS" w:hAnsi="Trebuchet MS" w:cs="Arial"/>
          <w:b/>
          <w:sz w:val="20"/>
          <w:szCs w:val="20"/>
        </w:rPr>
        <w:t>Software di controllo e movimentazione dell’Unità</w:t>
      </w:r>
      <w:r w:rsidRPr="0062769D">
        <w:rPr>
          <w:rFonts w:ascii="Trebuchet MS" w:hAnsi="Trebuchet MS" w:cs="Arial"/>
          <w:sz w:val="20"/>
          <w:szCs w:val="20"/>
        </w:rPr>
        <w:t xml:space="preserve">. </w:t>
      </w:r>
      <w:r>
        <w:rPr>
          <w:rFonts w:ascii="Trebuchet MS" w:hAnsi="Trebuchet MS" w:cs="Arial"/>
          <w:sz w:val="20"/>
          <w:szCs w:val="20"/>
        </w:rPr>
        <w:t>Tale SW è responsabile del controllo e monitoraggio di tutti gli apparati che costituiscono il telescopio.</w:t>
      </w:r>
    </w:p>
    <w:p w:rsidR="00A65A7F" w:rsidRDefault="00A65A7F" w:rsidP="00A65A7F">
      <w:pPr>
        <w:spacing w:line="360" w:lineRule="auto"/>
        <w:ind w:left="360"/>
        <w:jc w:val="both"/>
        <w:rPr>
          <w:rFonts w:ascii="Trebuchet MS" w:hAnsi="Trebuchet MS" w:cs="Arial"/>
          <w:sz w:val="20"/>
          <w:szCs w:val="20"/>
        </w:rPr>
      </w:pPr>
    </w:p>
    <w:p w:rsidR="00A65A7F" w:rsidRDefault="00A65A7F" w:rsidP="00A65A7F">
      <w:pPr>
        <w:spacing w:line="360" w:lineRule="auto"/>
        <w:ind w:left="360"/>
        <w:jc w:val="both"/>
        <w:rPr>
          <w:rFonts w:ascii="Trebuchet MS" w:hAnsi="Trebuchet MS" w:cs="Arial"/>
          <w:sz w:val="20"/>
          <w:szCs w:val="20"/>
        </w:rPr>
      </w:pPr>
      <w:r>
        <w:rPr>
          <w:rFonts w:ascii="Trebuchet MS" w:hAnsi="Trebuchet MS" w:cs="Arial"/>
          <w:sz w:val="20"/>
          <w:szCs w:val="20"/>
        </w:rPr>
        <w:t xml:space="preserve">Un prototipo del </w:t>
      </w:r>
      <w:r>
        <w:rPr>
          <w:rFonts w:ascii="Trebuchet MS" w:hAnsi="Trebuchet MS" w:cs="Arial"/>
          <w:sz w:val="20"/>
          <w:szCs w:val="20"/>
        </w:rPr>
        <w:t xml:space="preserve">telescopio è stato progettato costruito e installato in un sito INAF. Al momento si stanno completando le fasi di verifica. Tutti i disegni e schemi progettuali sono di proprietà INAF e </w:t>
      </w:r>
      <w:r>
        <w:rPr>
          <w:rFonts w:ascii="Trebuchet MS" w:hAnsi="Trebuchet MS" w:cs="Arial"/>
          <w:sz w:val="20"/>
          <w:szCs w:val="20"/>
        </w:rPr>
        <w:t>costituiranno il capitolo tecnico vincolante per le successive procedure di acquisizione</w:t>
      </w:r>
      <w:r>
        <w:rPr>
          <w:rFonts w:ascii="Trebuchet MS" w:hAnsi="Trebuchet MS" w:cs="Arial"/>
          <w:sz w:val="20"/>
          <w:szCs w:val="20"/>
        </w:rPr>
        <w:t>. La realizzazione dei sottosistemi qui sopra si baserà su questa documentazione</w:t>
      </w:r>
      <w:r>
        <w:rPr>
          <w:rFonts w:ascii="Trebuchet MS" w:hAnsi="Trebuchet MS" w:cs="Arial"/>
          <w:sz w:val="20"/>
          <w:szCs w:val="20"/>
        </w:rPr>
        <w:t xml:space="preserve">. </w:t>
      </w:r>
    </w:p>
    <w:p w:rsidR="00A65A7F" w:rsidRDefault="00A65A7F" w:rsidP="00A65A7F">
      <w:pPr>
        <w:spacing w:line="360" w:lineRule="auto"/>
        <w:ind w:left="360"/>
        <w:jc w:val="both"/>
        <w:rPr>
          <w:rFonts w:ascii="Trebuchet MS" w:hAnsi="Trebuchet MS" w:cs="Arial"/>
          <w:sz w:val="20"/>
          <w:szCs w:val="20"/>
        </w:rPr>
      </w:pPr>
    </w:p>
    <w:p w:rsidR="00A65A7F" w:rsidRDefault="00A65A7F" w:rsidP="00A65A7F">
      <w:pPr>
        <w:spacing w:line="360" w:lineRule="auto"/>
        <w:ind w:left="360"/>
        <w:jc w:val="both"/>
        <w:rPr>
          <w:rFonts w:ascii="Trebuchet MS" w:hAnsi="Trebuchet MS" w:cs="Arial"/>
          <w:sz w:val="20"/>
          <w:szCs w:val="20"/>
        </w:rPr>
      </w:pPr>
      <w:bookmarkStart w:id="0" w:name="_GoBack"/>
      <w:bookmarkEnd w:id="0"/>
      <w:r w:rsidRPr="00A26F79">
        <w:rPr>
          <w:rFonts w:ascii="Trebuchet MS" w:hAnsi="Trebuchet MS" w:cs="Arial"/>
          <w:sz w:val="20"/>
          <w:szCs w:val="20"/>
        </w:rPr>
        <w:t xml:space="preserve">Le unità che </w:t>
      </w:r>
      <w:proofErr w:type="gramStart"/>
      <w:r w:rsidRPr="00A26F79">
        <w:rPr>
          <w:rFonts w:ascii="Trebuchet MS" w:hAnsi="Trebuchet MS" w:cs="Arial"/>
          <w:sz w:val="20"/>
          <w:szCs w:val="20"/>
        </w:rPr>
        <w:t xml:space="preserve">si </w:t>
      </w:r>
      <w:proofErr w:type="gramEnd"/>
      <w:r w:rsidRPr="00A26F79">
        <w:rPr>
          <w:rFonts w:ascii="Trebuchet MS" w:hAnsi="Trebuchet MS" w:cs="Arial"/>
          <w:sz w:val="20"/>
          <w:szCs w:val="20"/>
        </w:rPr>
        <w:t>intendono acquisire</w:t>
      </w:r>
      <w:r>
        <w:rPr>
          <w:rFonts w:ascii="Trebuchet MS" w:hAnsi="Trebuchet MS" w:cs="Arial"/>
          <w:sz w:val="20"/>
          <w:szCs w:val="20"/>
        </w:rPr>
        <w:t xml:space="preserve"> dovranno essere</w:t>
      </w:r>
      <w:r w:rsidRPr="00A26F79">
        <w:rPr>
          <w:rFonts w:ascii="Trebuchet MS" w:hAnsi="Trebuchet MS" w:cs="Arial"/>
          <w:sz w:val="20"/>
          <w:szCs w:val="20"/>
        </w:rPr>
        <w:t xml:space="preserve"> installate</w:t>
      </w:r>
      <w:r>
        <w:rPr>
          <w:rFonts w:ascii="Trebuchet MS" w:hAnsi="Trebuchet MS" w:cs="Arial"/>
          <w:sz w:val="20"/>
          <w:szCs w:val="20"/>
        </w:rPr>
        <w:t>,</w:t>
      </w:r>
      <w:r w:rsidRPr="00A647C4">
        <w:rPr>
          <w:rFonts w:ascii="Trebuchet MS" w:hAnsi="Trebuchet MS" w:cs="Arial"/>
          <w:sz w:val="20"/>
          <w:szCs w:val="20"/>
        </w:rPr>
        <w:t xml:space="preserve"> </w:t>
      </w:r>
      <w:r w:rsidRPr="002C5A19">
        <w:rPr>
          <w:rFonts w:ascii="Trebuchet MS" w:hAnsi="Trebuchet MS" w:cs="Arial"/>
          <w:sz w:val="20"/>
          <w:szCs w:val="20"/>
        </w:rPr>
        <w:t>collaudate e certificate</w:t>
      </w:r>
      <w:r w:rsidRPr="00A26F79">
        <w:rPr>
          <w:rFonts w:ascii="Trebuchet MS" w:hAnsi="Trebuchet MS" w:cs="Arial"/>
          <w:sz w:val="20"/>
          <w:szCs w:val="20"/>
        </w:rPr>
        <w:t xml:space="preserve"> presso il sito osservativo (correntemente in discussione tra il deserto di Atacama in Cile e la località di </w:t>
      </w:r>
      <w:proofErr w:type="spellStart"/>
      <w:r w:rsidRPr="00A26F79">
        <w:rPr>
          <w:rFonts w:ascii="Trebuchet MS" w:hAnsi="Trebuchet MS" w:cs="Arial"/>
          <w:sz w:val="20"/>
          <w:szCs w:val="20"/>
        </w:rPr>
        <w:t>Aar</w:t>
      </w:r>
      <w:proofErr w:type="spellEnd"/>
      <w:r w:rsidRPr="00A26F79">
        <w:rPr>
          <w:rFonts w:ascii="Trebuchet MS" w:hAnsi="Trebuchet MS" w:cs="Arial"/>
          <w:sz w:val="20"/>
          <w:szCs w:val="20"/>
        </w:rPr>
        <w:t xml:space="preserve"> in Namibia). Sono pertanto oggetto di questa Consultazione</w:t>
      </w:r>
      <w:r>
        <w:rPr>
          <w:rFonts w:ascii="Trebuchet MS" w:hAnsi="Trebuchet MS" w:cs="Arial"/>
          <w:sz w:val="20"/>
          <w:szCs w:val="20"/>
        </w:rPr>
        <w:t xml:space="preserve"> le seguenti attività.</w:t>
      </w:r>
      <w:r w:rsidRPr="00A26F79">
        <w:rPr>
          <w:rFonts w:ascii="Trebuchet MS" w:hAnsi="Trebuchet MS" w:cs="Arial"/>
          <w:sz w:val="20"/>
          <w:szCs w:val="20"/>
        </w:rPr>
        <w:t xml:space="preserve"> </w:t>
      </w:r>
    </w:p>
    <w:p w:rsidR="00A65A7F" w:rsidRPr="00A26F79" w:rsidRDefault="00A65A7F" w:rsidP="00A65A7F">
      <w:pPr>
        <w:spacing w:line="360" w:lineRule="auto"/>
        <w:ind w:left="360"/>
        <w:jc w:val="both"/>
        <w:rPr>
          <w:rFonts w:ascii="Trebuchet MS" w:hAnsi="Trebuchet MS" w:cs="Arial"/>
          <w:sz w:val="20"/>
          <w:szCs w:val="20"/>
        </w:rPr>
      </w:pP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lastRenderedPageBreak/>
        <w:t xml:space="preserve">Costruzione e test in fabbrica di </w:t>
      </w:r>
      <w:proofErr w:type="gramStart"/>
      <w:r>
        <w:rPr>
          <w:rFonts w:ascii="Trebuchet MS" w:hAnsi="Trebuchet MS" w:cs="Arial"/>
          <w:sz w:val="20"/>
          <w:szCs w:val="20"/>
        </w:rPr>
        <w:t>9</w:t>
      </w:r>
      <w:proofErr w:type="gramEnd"/>
      <w:r>
        <w:rPr>
          <w:rFonts w:ascii="Trebuchet MS" w:hAnsi="Trebuchet MS" w:cs="Arial"/>
          <w:sz w:val="20"/>
          <w:szCs w:val="20"/>
        </w:rPr>
        <w:t xml:space="preserve"> strutture meccaniche comprensive di parti di ricambio</w:t>
      </w:r>
    </w:p>
    <w:p w:rsidR="00A65A7F" w:rsidRDefault="00A65A7F" w:rsidP="00A65A7F">
      <w:pPr>
        <w:pStyle w:val="ListParagraph"/>
        <w:spacing w:line="360" w:lineRule="auto"/>
        <w:ind w:left="1416"/>
        <w:jc w:val="both"/>
        <w:rPr>
          <w:rFonts w:ascii="Trebuchet MS" w:hAnsi="Trebuchet MS" w:cs="Arial"/>
          <w:sz w:val="20"/>
          <w:szCs w:val="20"/>
        </w:rPr>
      </w:pPr>
      <w:r>
        <w:rPr>
          <w:rFonts w:ascii="Trebuchet MS" w:hAnsi="Trebuchet MS" w:cs="Arial"/>
          <w:sz w:val="20"/>
          <w:szCs w:val="20"/>
        </w:rPr>
        <w:t xml:space="preserve">Le strutture dei telescopi, comprese della parte </w:t>
      </w:r>
      <w:proofErr w:type="gramStart"/>
      <w:r>
        <w:rPr>
          <w:rFonts w:ascii="Trebuchet MS" w:hAnsi="Trebuchet MS" w:cs="Arial"/>
          <w:sz w:val="20"/>
          <w:szCs w:val="20"/>
        </w:rPr>
        <w:t>dei</w:t>
      </w:r>
      <w:proofErr w:type="gramEnd"/>
      <w:r>
        <w:rPr>
          <w:rFonts w:ascii="Trebuchet MS" w:hAnsi="Trebuchet MS" w:cs="Arial"/>
          <w:sz w:val="20"/>
          <w:szCs w:val="20"/>
        </w:rPr>
        <w:t xml:space="preserve"> servo sistemi e del loro controllo, saranno costruite e testate in fabbrica prima della spedizione al sito. Le strutture comprendono anche </w:t>
      </w:r>
      <w:proofErr w:type="gramStart"/>
      <w:r>
        <w:rPr>
          <w:rFonts w:ascii="Trebuchet MS" w:hAnsi="Trebuchet MS" w:cs="Arial"/>
          <w:sz w:val="20"/>
          <w:szCs w:val="20"/>
        </w:rPr>
        <w:t xml:space="preserve">la </w:t>
      </w:r>
      <w:proofErr w:type="gramEnd"/>
      <w:r>
        <w:rPr>
          <w:rFonts w:ascii="Trebuchet MS" w:hAnsi="Trebuchet MS" w:cs="Arial"/>
          <w:sz w:val="20"/>
          <w:szCs w:val="20"/>
        </w:rPr>
        <w:t xml:space="preserve">integrazione dei sistemi di controllo (e.g. Drive e PLC). Le interfacce meccaniche ed elettriche con gli altri sottosistemi dovranno essere provati prima della spedizione. Le strutture saranno organizzate in lotti di tre e spediti al sito per la loro integrazione. Le strutture </w:t>
      </w:r>
      <w:proofErr w:type="gramStart"/>
      <w:r>
        <w:rPr>
          <w:rFonts w:ascii="Trebuchet MS" w:hAnsi="Trebuchet MS" w:cs="Arial"/>
          <w:sz w:val="20"/>
          <w:szCs w:val="20"/>
        </w:rPr>
        <w:t>verranno</w:t>
      </w:r>
      <w:proofErr w:type="gramEnd"/>
      <w:r>
        <w:rPr>
          <w:rFonts w:ascii="Trebuchet MS" w:hAnsi="Trebuchet MS" w:cs="Arial"/>
          <w:sz w:val="20"/>
          <w:szCs w:val="20"/>
        </w:rPr>
        <w:t xml:space="preserve"> accompagnate da un quantitativo di parti di ricambio per garantire la vita del sottosistema in operazioni (30 anni)</w:t>
      </w: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t>Ingegnerizzazione e c</w:t>
      </w:r>
      <w:r w:rsidRPr="00A26F79">
        <w:rPr>
          <w:rFonts w:ascii="Trebuchet MS" w:hAnsi="Trebuchet MS" w:cs="Arial"/>
          <w:sz w:val="20"/>
          <w:szCs w:val="20"/>
        </w:rPr>
        <w:t xml:space="preserve">ostruzione e test in fabbrica di </w:t>
      </w:r>
      <w:proofErr w:type="gramStart"/>
      <w:r w:rsidRPr="00A26F79">
        <w:rPr>
          <w:rFonts w:ascii="Trebuchet MS" w:hAnsi="Trebuchet MS" w:cs="Arial"/>
          <w:sz w:val="20"/>
          <w:szCs w:val="20"/>
        </w:rPr>
        <w:t>9</w:t>
      </w:r>
      <w:proofErr w:type="gramEnd"/>
      <w:r w:rsidRPr="00A26F79">
        <w:rPr>
          <w:rFonts w:ascii="Trebuchet MS" w:hAnsi="Trebuchet MS" w:cs="Arial"/>
          <w:sz w:val="20"/>
          <w:szCs w:val="20"/>
        </w:rPr>
        <w:t xml:space="preserve"> Camere </w:t>
      </w:r>
      <w:r>
        <w:rPr>
          <w:rFonts w:ascii="Trebuchet MS" w:hAnsi="Trebuchet MS" w:cs="Arial"/>
          <w:sz w:val="20"/>
          <w:szCs w:val="20"/>
        </w:rPr>
        <w:t>ASTRI</w:t>
      </w:r>
      <w:r w:rsidRPr="00A26F79">
        <w:rPr>
          <w:rFonts w:ascii="Trebuchet MS" w:hAnsi="Trebuchet MS" w:cs="Arial"/>
          <w:sz w:val="20"/>
          <w:szCs w:val="20"/>
        </w:rPr>
        <w:t xml:space="preserve"> comprensive di parti di ricambio</w:t>
      </w:r>
      <w:r>
        <w:rPr>
          <w:rFonts w:ascii="Trebuchet MS" w:hAnsi="Trebuchet MS" w:cs="Arial"/>
          <w:sz w:val="20"/>
          <w:szCs w:val="20"/>
        </w:rPr>
        <w:t>.</w:t>
      </w:r>
    </w:p>
    <w:p w:rsidR="00A65A7F" w:rsidRPr="00A26F79" w:rsidRDefault="00A65A7F" w:rsidP="00A65A7F">
      <w:pPr>
        <w:pStyle w:val="ListParagraph"/>
        <w:spacing w:line="360" w:lineRule="auto"/>
        <w:ind w:left="1416"/>
        <w:jc w:val="both"/>
        <w:rPr>
          <w:rFonts w:ascii="Trebuchet MS" w:hAnsi="Trebuchet MS" w:cs="Arial"/>
          <w:sz w:val="20"/>
          <w:szCs w:val="20"/>
        </w:rPr>
      </w:pPr>
      <w:r>
        <w:rPr>
          <w:rFonts w:ascii="Trebuchet MS" w:hAnsi="Trebuchet MS" w:cs="Arial"/>
          <w:sz w:val="20"/>
          <w:szCs w:val="20"/>
        </w:rPr>
        <w:t>Le camere dovranno essere in parte ingegnerizzate prima di partire con la produzione. La meccanica della camera e alcune schede di elettronica di servizio (</w:t>
      </w:r>
      <w:proofErr w:type="spellStart"/>
      <w:proofErr w:type="gramStart"/>
      <w:r>
        <w:rPr>
          <w:rFonts w:ascii="Trebuchet MS" w:hAnsi="Trebuchet MS" w:cs="Arial"/>
          <w:sz w:val="20"/>
          <w:szCs w:val="20"/>
        </w:rPr>
        <w:t>e.g</w:t>
      </w:r>
      <w:proofErr w:type="spellEnd"/>
      <w:proofErr w:type="gramEnd"/>
      <w:r>
        <w:rPr>
          <w:rFonts w:ascii="Trebuchet MS" w:hAnsi="Trebuchet MS" w:cs="Arial"/>
          <w:sz w:val="20"/>
          <w:szCs w:val="20"/>
        </w:rPr>
        <w:t xml:space="preserve">, </w:t>
      </w:r>
      <w:proofErr w:type="spellStart"/>
      <w:r>
        <w:rPr>
          <w:rFonts w:ascii="Trebuchet MS" w:hAnsi="Trebuchet MS" w:cs="Arial"/>
          <w:sz w:val="20"/>
          <w:szCs w:val="20"/>
        </w:rPr>
        <w:t>power</w:t>
      </w:r>
      <w:proofErr w:type="spellEnd"/>
      <w:r>
        <w:rPr>
          <w:rFonts w:ascii="Trebuchet MS" w:hAnsi="Trebuchet MS" w:cs="Arial"/>
          <w:sz w:val="20"/>
          <w:szCs w:val="20"/>
        </w:rPr>
        <w:t xml:space="preserve"> </w:t>
      </w:r>
      <w:proofErr w:type="spellStart"/>
      <w:r>
        <w:rPr>
          <w:rFonts w:ascii="Trebuchet MS" w:hAnsi="Trebuchet MS" w:cs="Arial"/>
          <w:sz w:val="20"/>
          <w:szCs w:val="20"/>
        </w:rPr>
        <w:t>supply</w:t>
      </w:r>
      <w:proofErr w:type="spellEnd"/>
      <w:r>
        <w:rPr>
          <w:rFonts w:ascii="Trebuchet MS" w:hAnsi="Trebuchet MS" w:cs="Arial"/>
          <w:sz w:val="20"/>
          <w:szCs w:val="20"/>
        </w:rPr>
        <w:t xml:space="preserve">) dovranno essere ridisegnate per rendere la camera un prodotto industriale. Alcuni </w:t>
      </w:r>
      <w:proofErr w:type="gramStart"/>
      <w:r>
        <w:rPr>
          <w:rFonts w:ascii="Trebuchet MS" w:hAnsi="Trebuchet MS" w:cs="Arial"/>
          <w:sz w:val="20"/>
          <w:szCs w:val="20"/>
        </w:rPr>
        <w:t>componenti</w:t>
      </w:r>
      <w:proofErr w:type="gramEnd"/>
      <w:r>
        <w:rPr>
          <w:rFonts w:ascii="Trebuchet MS" w:hAnsi="Trebuchet MS" w:cs="Arial"/>
          <w:sz w:val="20"/>
          <w:szCs w:val="20"/>
        </w:rPr>
        <w:t xml:space="preserve"> saranno selezionati e definiti da INAF (e.g. Sensori, ASICS) e non sarà possibile sostituirli nel design. Le camere, prodotte a lotti di tre come la struttura, </w:t>
      </w:r>
      <w:proofErr w:type="gramStart"/>
      <w:r>
        <w:rPr>
          <w:rFonts w:ascii="Trebuchet MS" w:hAnsi="Trebuchet MS" w:cs="Arial"/>
          <w:sz w:val="20"/>
          <w:szCs w:val="20"/>
        </w:rPr>
        <w:t>verranno</w:t>
      </w:r>
      <w:proofErr w:type="gramEnd"/>
      <w:r>
        <w:rPr>
          <w:rFonts w:ascii="Trebuchet MS" w:hAnsi="Trebuchet MS" w:cs="Arial"/>
          <w:sz w:val="20"/>
          <w:szCs w:val="20"/>
        </w:rPr>
        <w:t xml:space="preserve"> testate in fabbrica prima di essere spedite in sito, assieme alla struttura. In parallelo si realizzerà una camera in più che </w:t>
      </w:r>
      <w:proofErr w:type="gramStart"/>
      <w:r>
        <w:rPr>
          <w:rFonts w:ascii="Trebuchet MS" w:hAnsi="Trebuchet MS" w:cs="Arial"/>
          <w:sz w:val="20"/>
          <w:szCs w:val="20"/>
        </w:rPr>
        <w:t>verrà</w:t>
      </w:r>
      <w:proofErr w:type="gramEnd"/>
      <w:r>
        <w:rPr>
          <w:rFonts w:ascii="Trebuchet MS" w:hAnsi="Trebuchet MS" w:cs="Arial"/>
          <w:sz w:val="20"/>
          <w:szCs w:val="20"/>
        </w:rPr>
        <w:t xml:space="preserve"> utilizzata come ricambio per le operazioni al sito.</w:t>
      </w: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t>Qualifica ambientale dell’assieme Camera</w:t>
      </w:r>
    </w:p>
    <w:p w:rsidR="00A65A7F" w:rsidRDefault="00A65A7F" w:rsidP="00A65A7F">
      <w:pPr>
        <w:pStyle w:val="ListParagraph"/>
        <w:spacing w:line="360" w:lineRule="auto"/>
        <w:ind w:left="1416"/>
        <w:jc w:val="both"/>
        <w:rPr>
          <w:rFonts w:ascii="Trebuchet MS" w:hAnsi="Trebuchet MS" w:cs="Arial"/>
          <w:sz w:val="20"/>
          <w:szCs w:val="20"/>
        </w:rPr>
      </w:pPr>
      <w:r>
        <w:rPr>
          <w:rFonts w:ascii="Trebuchet MS" w:hAnsi="Trebuchet MS" w:cs="Arial"/>
          <w:sz w:val="20"/>
          <w:szCs w:val="20"/>
        </w:rPr>
        <w:t xml:space="preserve">La prima camera prodotta subirà un processo di qualifica ambientale, secondo i requisiti espressi dal progetto CTA (Cicli di temperatura, nebbia salina, UV). Tale processo deve dimostrare i requisiti di vita della camera (15 anni). La camera utilizzata per le qualifiche non sarà </w:t>
      </w:r>
      <w:proofErr w:type="gramStart"/>
      <w:r>
        <w:rPr>
          <w:rFonts w:ascii="Trebuchet MS" w:hAnsi="Trebuchet MS" w:cs="Arial"/>
          <w:sz w:val="20"/>
          <w:szCs w:val="20"/>
        </w:rPr>
        <w:t>utilizzata</w:t>
      </w:r>
      <w:proofErr w:type="gramEnd"/>
      <w:r>
        <w:rPr>
          <w:rFonts w:ascii="Trebuchet MS" w:hAnsi="Trebuchet MS" w:cs="Arial"/>
          <w:sz w:val="20"/>
          <w:szCs w:val="20"/>
        </w:rPr>
        <w:t xml:space="preserve"> in operazioni, e quindi non deve essere conteggiata nelle nove del paragrafo precedente.</w:t>
      </w: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t xml:space="preserve">Costruzione e test in fabbrica di </w:t>
      </w:r>
      <w:proofErr w:type="gramStart"/>
      <w:r>
        <w:rPr>
          <w:rFonts w:ascii="Trebuchet MS" w:hAnsi="Trebuchet MS" w:cs="Arial"/>
          <w:sz w:val="20"/>
          <w:szCs w:val="20"/>
        </w:rPr>
        <w:t>9</w:t>
      </w:r>
      <w:proofErr w:type="gramEnd"/>
      <w:r>
        <w:rPr>
          <w:rFonts w:ascii="Trebuchet MS" w:hAnsi="Trebuchet MS" w:cs="Arial"/>
          <w:sz w:val="20"/>
          <w:szCs w:val="20"/>
        </w:rPr>
        <w:t xml:space="preserve"> Specchi primari comprensivi delle parti di ricambio</w:t>
      </w:r>
    </w:p>
    <w:p w:rsidR="00A65A7F" w:rsidRPr="00A26F79" w:rsidRDefault="00A65A7F" w:rsidP="00A65A7F">
      <w:pPr>
        <w:pStyle w:val="ListParagraph"/>
        <w:spacing w:line="360" w:lineRule="auto"/>
        <w:ind w:left="1416"/>
        <w:jc w:val="both"/>
        <w:rPr>
          <w:rFonts w:ascii="Trebuchet MS" w:hAnsi="Trebuchet MS" w:cs="Arial"/>
          <w:sz w:val="20"/>
          <w:szCs w:val="20"/>
        </w:rPr>
      </w:pPr>
      <w:r>
        <w:rPr>
          <w:rFonts w:ascii="Trebuchet MS" w:hAnsi="Trebuchet MS" w:cs="Arial"/>
          <w:sz w:val="20"/>
          <w:szCs w:val="20"/>
        </w:rPr>
        <w:t>Lo specchio primario è costituito da diciotto segmenti, dal diametro di circa un metro, con tre diverse curvature. Dovranno essere costruite nove serie di specchi completi più un certo numero di specchi di ricambio. La procedura di costruzione di tali specchi è stata definita dai laboratori dell’INAF e dovrà essere ottimizzata per divenire un processo industriale. Gli specchi avranno un “</w:t>
      </w:r>
      <w:proofErr w:type="spellStart"/>
      <w:r>
        <w:rPr>
          <w:rFonts w:ascii="Trebuchet MS" w:hAnsi="Trebuchet MS" w:cs="Arial"/>
          <w:sz w:val="20"/>
          <w:szCs w:val="20"/>
        </w:rPr>
        <w:t>coating</w:t>
      </w:r>
      <w:proofErr w:type="spellEnd"/>
      <w:r>
        <w:rPr>
          <w:rFonts w:ascii="Trebuchet MS" w:hAnsi="Trebuchet MS" w:cs="Arial"/>
          <w:sz w:val="20"/>
          <w:szCs w:val="20"/>
        </w:rPr>
        <w:t xml:space="preserve">” riflettente come su disegno di </w:t>
      </w:r>
      <w:proofErr w:type="gramStart"/>
      <w:r>
        <w:rPr>
          <w:rFonts w:ascii="Trebuchet MS" w:hAnsi="Trebuchet MS" w:cs="Arial"/>
          <w:sz w:val="20"/>
          <w:szCs w:val="20"/>
        </w:rPr>
        <w:t>INAF.</w:t>
      </w:r>
      <w:proofErr w:type="gramEnd"/>
      <w:r>
        <w:rPr>
          <w:rFonts w:ascii="Trebuchet MS" w:hAnsi="Trebuchet MS" w:cs="Arial"/>
          <w:sz w:val="20"/>
          <w:szCs w:val="20"/>
        </w:rPr>
        <w:t xml:space="preserve"> Insiemi completi degli specchi del primario dovranno essere spediti a tre a tre per seguire le spedizioni della camera e della struttura.</w:t>
      </w: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t xml:space="preserve">Costruzione e test in fabbrica di </w:t>
      </w:r>
      <w:proofErr w:type="gramStart"/>
      <w:r>
        <w:rPr>
          <w:rFonts w:ascii="Trebuchet MS" w:hAnsi="Trebuchet MS" w:cs="Arial"/>
          <w:sz w:val="20"/>
          <w:szCs w:val="20"/>
        </w:rPr>
        <w:t>9</w:t>
      </w:r>
      <w:proofErr w:type="gramEnd"/>
      <w:r>
        <w:rPr>
          <w:rFonts w:ascii="Trebuchet MS" w:hAnsi="Trebuchet MS" w:cs="Arial"/>
          <w:sz w:val="20"/>
          <w:szCs w:val="20"/>
        </w:rPr>
        <w:t xml:space="preserve"> specchi secondari comprensive delle parti di ricambio</w:t>
      </w:r>
    </w:p>
    <w:p w:rsidR="00A65A7F" w:rsidRDefault="00A65A7F" w:rsidP="00A65A7F">
      <w:pPr>
        <w:spacing w:line="360" w:lineRule="auto"/>
        <w:ind w:left="1416"/>
        <w:jc w:val="both"/>
        <w:rPr>
          <w:rFonts w:ascii="Trebuchet MS" w:hAnsi="Trebuchet MS" w:cs="Arial"/>
          <w:sz w:val="20"/>
          <w:szCs w:val="20"/>
        </w:rPr>
      </w:pPr>
      <w:r>
        <w:rPr>
          <w:rFonts w:ascii="Trebuchet MS" w:hAnsi="Trebuchet MS" w:cs="Arial"/>
          <w:sz w:val="20"/>
          <w:szCs w:val="20"/>
        </w:rPr>
        <w:t xml:space="preserve">Lo specchio secondario a differenza dei segmenti del primario è un pezzo unico monolitico di vetro opportunamente curvato. Il diametro dello specchio è di circa due metri. Dovranno essere realizzati </w:t>
      </w:r>
      <w:proofErr w:type="gramStart"/>
      <w:r>
        <w:rPr>
          <w:rFonts w:ascii="Trebuchet MS" w:hAnsi="Trebuchet MS" w:cs="Arial"/>
          <w:sz w:val="20"/>
          <w:szCs w:val="20"/>
        </w:rPr>
        <w:t>9</w:t>
      </w:r>
      <w:proofErr w:type="gramEnd"/>
      <w:r>
        <w:rPr>
          <w:rFonts w:ascii="Trebuchet MS" w:hAnsi="Trebuchet MS" w:cs="Arial"/>
          <w:sz w:val="20"/>
          <w:szCs w:val="20"/>
        </w:rPr>
        <w:t xml:space="preserve"> elementi più uno specchio </w:t>
      </w:r>
      <w:proofErr w:type="spellStart"/>
      <w:r>
        <w:rPr>
          <w:rFonts w:ascii="Trebuchet MS" w:hAnsi="Trebuchet MS" w:cs="Arial"/>
          <w:sz w:val="20"/>
          <w:szCs w:val="20"/>
        </w:rPr>
        <w:t>spare</w:t>
      </w:r>
      <w:proofErr w:type="spellEnd"/>
      <w:r>
        <w:rPr>
          <w:rFonts w:ascii="Trebuchet MS" w:hAnsi="Trebuchet MS" w:cs="Arial"/>
          <w:sz w:val="20"/>
          <w:szCs w:val="20"/>
        </w:rPr>
        <w:t>. Come per il primario la spedizione in sito è organizzata a insiemi di tre specchi per volta.</w:t>
      </w: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t>Spedizione del materiale.</w:t>
      </w:r>
    </w:p>
    <w:p w:rsidR="00A65A7F" w:rsidRPr="00A26F79" w:rsidRDefault="00A65A7F" w:rsidP="00A65A7F">
      <w:pPr>
        <w:spacing w:line="360" w:lineRule="auto"/>
        <w:ind w:left="1416"/>
        <w:jc w:val="both"/>
        <w:rPr>
          <w:rFonts w:ascii="Trebuchet MS" w:hAnsi="Trebuchet MS" w:cs="Arial"/>
          <w:sz w:val="20"/>
          <w:szCs w:val="20"/>
        </w:rPr>
      </w:pPr>
      <w:r>
        <w:rPr>
          <w:rFonts w:ascii="Trebuchet MS" w:hAnsi="Trebuchet MS" w:cs="Arial"/>
          <w:sz w:val="20"/>
          <w:szCs w:val="20"/>
        </w:rPr>
        <w:t xml:space="preserve">Una volta che tre elementi di ogni sottoinsieme sono </w:t>
      </w:r>
      <w:proofErr w:type="gramStart"/>
      <w:r>
        <w:rPr>
          <w:rFonts w:ascii="Trebuchet MS" w:hAnsi="Trebuchet MS" w:cs="Arial"/>
          <w:sz w:val="20"/>
          <w:szCs w:val="20"/>
        </w:rPr>
        <w:t>pronti</w:t>
      </w:r>
      <w:proofErr w:type="gramEnd"/>
      <w:r>
        <w:rPr>
          <w:rFonts w:ascii="Trebuchet MS" w:hAnsi="Trebuchet MS" w:cs="Arial"/>
          <w:sz w:val="20"/>
          <w:szCs w:val="20"/>
        </w:rPr>
        <w:t xml:space="preserve"> essi verranno raccolti e spediti in dedicati container al sito. La spedizione dovrà essere comprensiva di una dedicata garanzia per coprire inaspettati danni durante il trasporto. In totale ci saranno tre turni di spedizione per coprire l’intero lotto.</w:t>
      </w: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t>Costruzione delle fondazioni in sito</w:t>
      </w:r>
    </w:p>
    <w:p w:rsidR="00A65A7F" w:rsidRDefault="00A65A7F" w:rsidP="00A65A7F">
      <w:pPr>
        <w:pStyle w:val="ListParagraph"/>
        <w:spacing w:line="360" w:lineRule="auto"/>
        <w:ind w:left="1416"/>
        <w:jc w:val="both"/>
        <w:rPr>
          <w:rFonts w:ascii="Trebuchet MS" w:hAnsi="Trebuchet MS" w:cs="Arial"/>
          <w:sz w:val="20"/>
          <w:szCs w:val="20"/>
        </w:rPr>
      </w:pPr>
      <w:r>
        <w:rPr>
          <w:rFonts w:ascii="Trebuchet MS" w:hAnsi="Trebuchet MS" w:cs="Arial"/>
          <w:sz w:val="20"/>
          <w:szCs w:val="20"/>
        </w:rPr>
        <w:t xml:space="preserve">Parallelamente al sito dovranno essere costruite nove piazzole comprensive delle fondazioni che andranno </w:t>
      </w:r>
      <w:proofErr w:type="gramStart"/>
      <w:r>
        <w:rPr>
          <w:rFonts w:ascii="Trebuchet MS" w:hAnsi="Trebuchet MS" w:cs="Arial"/>
          <w:sz w:val="20"/>
          <w:szCs w:val="20"/>
        </w:rPr>
        <w:t>ad</w:t>
      </w:r>
      <w:proofErr w:type="gramEnd"/>
      <w:r>
        <w:rPr>
          <w:rFonts w:ascii="Trebuchet MS" w:hAnsi="Trebuchet MS" w:cs="Arial"/>
          <w:sz w:val="20"/>
          <w:szCs w:val="20"/>
        </w:rPr>
        <w:t xml:space="preserve"> ospitare i telescopi. Le piazzole dovranno essere comprensive dei </w:t>
      </w:r>
      <w:proofErr w:type="spellStart"/>
      <w:r>
        <w:rPr>
          <w:rFonts w:ascii="Trebuchet MS" w:hAnsi="Trebuchet MS" w:cs="Arial"/>
          <w:sz w:val="20"/>
          <w:szCs w:val="20"/>
        </w:rPr>
        <w:t>tirafondi</w:t>
      </w:r>
      <w:proofErr w:type="spellEnd"/>
      <w:r>
        <w:rPr>
          <w:rFonts w:ascii="Trebuchet MS" w:hAnsi="Trebuchet MS" w:cs="Arial"/>
          <w:sz w:val="20"/>
          <w:szCs w:val="20"/>
        </w:rPr>
        <w:t xml:space="preserve"> e delle opportune canalette per cavi dati e potenza.</w:t>
      </w:r>
    </w:p>
    <w:p w:rsidR="00A65A7F" w:rsidRDefault="00A65A7F" w:rsidP="00A65A7F">
      <w:pPr>
        <w:pStyle w:val="ListParagraph"/>
        <w:numPr>
          <w:ilvl w:val="0"/>
          <w:numId w:val="3"/>
        </w:numPr>
        <w:spacing w:line="360" w:lineRule="auto"/>
        <w:jc w:val="both"/>
        <w:rPr>
          <w:rFonts w:ascii="Trebuchet MS" w:hAnsi="Trebuchet MS" w:cs="Arial"/>
          <w:sz w:val="20"/>
          <w:szCs w:val="20"/>
        </w:rPr>
      </w:pPr>
      <w:r>
        <w:rPr>
          <w:rFonts w:ascii="Trebuchet MS" w:hAnsi="Trebuchet MS" w:cs="Arial"/>
          <w:sz w:val="20"/>
          <w:szCs w:val="20"/>
        </w:rPr>
        <w:t>Integrazione e test dei telescopi in sito</w:t>
      </w:r>
    </w:p>
    <w:p w:rsidR="00A65A7F" w:rsidRDefault="00A65A7F" w:rsidP="00A65A7F">
      <w:pPr>
        <w:spacing w:line="360" w:lineRule="auto"/>
        <w:ind w:left="1416"/>
        <w:jc w:val="both"/>
        <w:rPr>
          <w:rFonts w:ascii="Trebuchet MS" w:hAnsi="Trebuchet MS" w:cs="Arial"/>
          <w:sz w:val="20"/>
          <w:szCs w:val="20"/>
        </w:rPr>
      </w:pPr>
      <w:r w:rsidRPr="00A26F79">
        <w:rPr>
          <w:rFonts w:ascii="Trebuchet MS" w:hAnsi="Trebuchet MS" w:cs="Arial"/>
          <w:sz w:val="20"/>
          <w:szCs w:val="20"/>
        </w:rPr>
        <w:t xml:space="preserve">Una volta che il primo lotto dei tre telescopi arriverà in </w:t>
      </w:r>
      <w:proofErr w:type="gramStart"/>
      <w:r w:rsidRPr="00A26F79">
        <w:rPr>
          <w:rFonts w:ascii="Trebuchet MS" w:hAnsi="Trebuchet MS" w:cs="Arial"/>
          <w:sz w:val="20"/>
          <w:szCs w:val="20"/>
        </w:rPr>
        <w:t>sito</w:t>
      </w:r>
      <w:proofErr w:type="gramEnd"/>
      <w:r w:rsidRPr="00A26F79">
        <w:rPr>
          <w:rFonts w:ascii="Trebuchet MS" w:hAnsi="Trebuchet MS" w:cs="Arial"/>
          <w:sz w:val="20"/>
          <w:szCs w:val="20"/>
        </w:rPr>
        <w:t xml:space="preserve"> essi dovranno essere integrati meccanicamente ed elettricamente in tutte le loro parti. Una volta integrati i telescopi dovranno essere testati funzionalmente in coordinamento con INAF.</w:t>
      </w:r>
    </w:p>
    <w:p w:rsidR="00A65A7F" w:rsidRDefault="00A65A7F" w:rsidP="00A65A7F">
      <w:pPr>
        <w:spacing w:line="360" w:lineRule="auto"/>
        <w:jc w:val="both"/>
        <w:rPr>
          <w:rFonts w:ascii="Trebuchet MS" w:hAnsi="Trebuchet MS" w:cs="Arial"/>
          <w:sz w:val="20"/>
          <w:szCs w:val="20"/>
        </w:rPr>
      </w:pPr>
    </w:p>
    <w:p w:rsidR="00A65A7F" w:rsidRPr="00A26F79" w:rsidRDefault="00A65A7F" w:rsidP="00A65A7F">
      <w:pPr>
        <w:spacing w:line="360" w:lineRule="auto"/>
        <w:ind w:left="360"/>
        <w:jc w:val="both"/>
        <w:rPr>
          <w:rFonts w:ascii="Trebuchet MS" w:hAnsi="Trebuchet MS" w:cs="Arial"/>
          <w:sz w:val="20"/>
          <w:szCs w:val="20"/>
        </w:rPr>
      </w:pPr>
    </w:p>
    <w:p w:rsidR="00A65A7F" w:rsidRDefault="00A65A7F" w:rsidP="00A65A7F">
      <w:pPr>
        <w:spacing w:line="360" w:lineRule="auto"/>
        <w:jc w:val="both"/>
        <w:rPr>
          <w:rFonts w:ascii="Trebuchet MS" w:hAnsi="Trebuchet MS" w:cs="Arial"/>
          <w:sz w:val="20"/>
          <w:szCs w:val="20"/>
        </w:rPr>
      </w:pPr>
    </w:p>
    <w:p w:rsidR="00A65A7F" w:rsidRDefault="00A65A7F" w:rsidP="00A65A7F">
      <w:pPr>
        <w:spacing w:line="360" w:lineRule="auto"/>
        <w:jc w:val="both"/>
        <w:rPr>
          <w:rFonts w:ascii="Trebuchet MS" w:hAnsi="Trebuchet MS" w:cs="Arial"/>
          <w:sz w:val="20"/>
          <w:szCs w:val="20"/>
        </w:rPr>
      </w:pPr>
    </w:p>
    <w:p w:rsidR="00327685" w:rsidRDefault="00327685"/>
    <w:sectPr w:rsidR="00327685" w:rsidSect="0032768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E7AB0"/>
    <w:multiLevelType w:val="hybridMultilevel"/>
    <w:tmpl w:val="FBB6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8370C0"/>
    <w:multiLevelType w:val="multilevel"/>
    <w:tmpl w:val="041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D8B206E"/>
    <w:multiLevelType w:val="hybridMultilevel"/>
    <w:tmpl w:val="78D63C6C"/>
    <w:lvl w:ilvl="0" w:tplc="04100011">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7F"/>
    <w:rsid w:val="00327685"/>
    <w:rsid w:val="00A6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C760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7F"/>
    <w:rPr>
      <w:rFonts w:ascii="Times New Roman" w:eastAsia="Times New Roman" w:hAnsi="Times New Roman" w:cs="Times New Roman"/>
      <w:lang w:val="it-IT" w:eastAsia="it-IT"/>
    </w:rPr>
  </w:style>
  <w:style w:type="paragraph" w:styleId="Heading1">
    <w:name w:val="heading 1"/>
    <w:basedOn w:val="Normal"/>
    <w:next w:val="Normal"/>
    <w:link w:val="Heading1Char"/>
    <w:qFormat/>
    <w:rsid w:val="00A65A7F"/>
    <w:pPr>
      <w:keepNext/>
      <w:numPr>
        <w:numId w:val="2"/>
      </w:numPr>
      <w:spacing w:before="120" w:after="120"/>
      <w:outlineLvl w:val="0"/>
    </w:pPr>
    <w:rPr>
      <w:rFonts w:ascii="Arial" w:hAnsi="Arial"/>
      <w:b/>
      <w:sz w:val="22"/>
    </w:rPr>
  </w:style>
  <w:style w:type="paragraph" w:styleId="Heading2">
    <w:name w:val="heading 2"/>
    <w:basedOn w:val="Normal"/>
    <w:next w:val="Normal"/>
    <w:link w:val="Heading2Char"/>
    <w:qFormat/>
    <w:rsid w:val="00A65A7F"/>
    <w:pPr>
      <w:keepNext/>
      <w:numPr>
        <w:ilvl w:val="1"/>
        <w:numId w:val="2"/>
      </w:numPr>
      <w:jc w:val="center"/>
      <w:outlineLvl w:val="1"/>
    </w:pPr>
    <w:rPr>
      <w:i/>
      <w:iCs/>
    </w:rPr>
  </w:style>
  <w:style w:type="paragraph" w:styleId="Heading3">
    <w:name w:val="heading 3"/>
    <w:basedOn w:val="Normal"/>
    <w:next w:val="Normal"/>
    <w:link w:val="Heading3Char"/>
    <w:qFormat/>
    <w:rsid w:val="00A65A7F"/>
    <w:pPr>
      <w:keepNext/>
      <w:numPr>
        <w:ilvl w:val="2"/>
        <w:numId w:val="2"/>
      </w:numPr>
      <w:jc w:val="center"/>
      <w:outlineLvl w:val="2"/>
    </w:pPr>
    <w:rPr>
      <w:b/>
      <w:bCs/>
      <w:i/>
      <w:iCs/>
    </w:rPr>
  </w:style>
  <w:style w:type="paragraph" w:styleId="Heading4">
    <w:name w:val="heading 4"/>
    <w:basedOn w:val="Normal"/>
    <w:next w:val="Normal"/>
    <w:link w:val="Heading4Char"/>
    <w:qFormat/>
    <w:rsid w:val="00A65A7F"/>
    <w:pPr>
      <w:keepNext/>
      <w:numPr>
        <w:ilvl w:val="3"/>
        <w:numId w:val="2"/>
      </w:numPr>
      <w:jc w:val="center"/>
      <w:outlineLvl w:val="3"/>
    </w:pPr>
    <w:rPr>
      <w:b/>
      <w:bCs/>
    </w:rPr>
  </w:style>
  <w:style w:type="paragraph" w:styleId="Heading5">
    <w:name w:val="heading 5"/>
    <w:basedOn w:val="Normal"/>
    <w:next w:val="Normal"/>
    <w:link w:val="Heading5Char"/>
    <w:qFormat/>
    <w:rsid w:val="00A65A7F"/>
    <w:pPr>
      <w:keepNext/>
      <w:numPr>
        <w:ilvl w:val="4"/>
        <w:numId w:val="2"/>
      </w:numPr>
      <w:spacing w:line="360" w:lineRule="auto"/>
      <w:jc w:val="center"/>
      <w:outlineLvl w:val="4"/>
    </w:pPr>
    <w:rPr>
      <w:rFonts w:ascii="Comic Sans MS" w:hAnsi="Comic Sans MS"/>
      <w:sz w:val="28"/>
    </w:rPr>
  </w:style>
  <w:style w:type="paragraph" w:styleId="Heading6">
    <w:name w:val="heading 6"/>
    <w:basedOn w:val="Normal"/>
    <w:next w:val="Normal"/>
    <w:link w:val="Heading6Char"/>
    <w:qFormat/>
    <w:rsid w:val="00A65A7F"/>
    <w:pPr>
      <w:keepNext/>
      <w:numPr>
        <w:ilvl w:val="5"/>
        <w:numId w:val="2"/>
      </w:numPr>
      <w:outlineLvl w:val="5"/>
    </w:pPr>
    <w:rPr>
      <w:rFonts w:ascii="Arial" w:hAnsi="Arial" w:cs="Arial"/>
      <w:b/>
      <w:bCs/>
      <w:sz w:val="20"/>
      <w:szCs w:val="20"/>
    </w:rPr>
  </w:style>
  <w:style w:type="paragraph" w:styleId="Heading7">
    <w:name w:val="heading 7"/>
    <w:basedOn w:val="Normal"/>
    <w:next w:val="Normal"/>
    <w:link w:val="Heading7Char"/>
    <w:qFormat/>
    <w:rsid w:val="00A65A7F"/>
    <w:pPr>
      <w:keepNext/>
      <w:numPr>
        <w:ilvl w:val="6"/>
        <w:numId w:val="2"/>
      </w:numPr>
      <w:autoSpaceDE w:val="0"/>
      <w:autoSpaceDN w:val="0"/>
      <w:adjustRightInd w:val="0"/>
      <w:jc w:val="center"/>
      <w:outlineLvl w:val="6"/>
    </w:pPr>
    <w:rPr>
      <w:rFonts w:ascii="Arial" w:hAnsi="Arial" w:cs="Arial"/>
      <w:b/>
      <w:bCs/>
      <w:color w:val="000000"/>
      <w:sz w:val="20"/>
      <w:szCs w:val="20"/>
    </w:rPr>
  </w:style>
  <w:style w:type="paragraph" w:styleId="Heading8">
    <w:name w:val="heading 8"/>
    <w:basedOn w:val="Normal"/>
    <w:next w:val="Normal"/>
    <w:link w:val="Heading8Char"/>
    <w:qFormat/>
    <w:rsid w:val="00A65A7F"/>
    <w:pPr>
      <w:keepNext/>
      <w:numPr>
        <w:ilvl w:val="7"/>
        <w:numId w:val="2"/>
      </w:numPr>
      <w:jc w:val="center"/>
      <w:outlineLvl w:val="7"/>
    </w:pPr>
    <w:rPr>
      <w:rFonts w:ascii="Arial" w:hAnsi="Arial" w:cs="Arial"/>
      <w:b/>
      <w:bCs/>
      <w:sz w:val="20"/>
      <w:szCs w:val="20"/>
    </w:rPr>
  </w:style>
  <w:style w:type="paragraph" w:styleId="Heading9">
    <w:name w:val="heading 9"/>
    <w:basedOn w:val="Normal"/>
    <w:next w:val="Normal"/>
    <w:link w:val="Heading9Char"/>
    <w:qFormat/>
    <w:rsid w:val="00A65A7F"/>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A7F"/>
    <w:rPr>
      <w:rFonts w:ascii="Arial" w:eastAsia="Times New Roman" w:hAnsi="Arial" w:cs="Times New Roman"/>
      <w:b/>
      <w:sz w:val="22"/>
      <w:lang w:val="it-IT" w:eastAsia="it-IT"/>
    </w:rPr>
  </w:style>
  <w:style w:type="character" w:customStyle="1" w:styleId="Heading2Char">
    <w:name w:val="Heading 2 Char"/>
    <w:basedOn w:val="DefaultParagraphFont"/>
    <w:link w:val="Heading2"/>
    <w:rsid w:val="00A65A7F"/>
    <w:rPr>
      <w:rFonts w:ascii="Times New Roman" w:eastAsia="Times New Roman" w:hAnsi="Times New Roman" w:cs="Times New Roman"/>
      <w:i/>
      <w:iCs/>
      <w:lang w:val="it-IT" w:eastAsia="it-IT"/>
    </w:rPr>
  </w:style>
  <w:style w:type="character" w:customStyle="1" w:styleId="Heading3Char">
    <w:name w:val="Heading 3 Char"/>
    <w:basedOn w:val="DefaultParagraphFont"/>
    <w:link w:val="Heading3"/>
    <w:rsid w:val="00A65A7F"/>
    <w:rPr>
      <w:rFonts w:ascii="Times New Roman" w:eastAsia="Times New Roman" w:hAnsi="Times New Roman" w:cs="Times New Roman"/>
      <w:b/>
      <w:bCs/>
      <w:i/>
      <w:iCs/>
      <w:lang w:val="it-IT" w:eastAsia="it-IT"/>
    </w:rPr>
  </w:style>
  <w:style w:type="character" w:customStyle="1" w:styleId="Heading4Char">
    <w:name w:val="Heading 4 Char"/>
    <w:basedOn w:val="DefaultParagraphFont"/>
    <w:link w:val="Heading4"/>
    <w:rsid w:val="00A65A7F"/>
    <w:rPr>
      <w:rFonts w:ascii="Times New Roman" w:eastAsia="Times New Roman" w:hAnsi="Times New Roman" w:cs="Times New Roman"/>
      <w:b/>
      <w:bCs/>
      <w:lang w:val="it-IT" w:eastAsia="it-IT"/>
    </w:rPr>
  </w:style>
  <w:style w:type="character" w:customStyle="1" w:styleId="Heading5Char">
    <w:name w:val="Heading 5 Char"/>
    <w:basedOn w:val="DefaultParagraphFont"/>
    <w:link w:val="Heading5"/>
    <w:rsid w:val="00A65A7F"/>
    <w:rPr>
      <w:rFonts w:ascii="Comic Sans MS" w:eastAsia="Times New Roman" w:hAnsi="Comic Sans MS" w:cs="Times New Roman"/>
      <w:sz w:val="28"/>
      <w:lang w:val="it-IT" w:eastAsia="it-IT"/>
    </w:rPr>
  </w:style>
  <w:style w:type="character" w:customStyle="1" w:styleId="Heading6Char">
    <w:name w:val="Heading 6 Char"/>
    <w:basedOn w:val="DefaultParagraphFont"/>
    <w:link w:val="Heading6"/>
    <w:rsid w:val="00A65A7F"/>
    <w:rPr>
      <w:rFonts w:ascii="Arial" w:eastAsia="Times New Roman" w:hAnsi="Arial" w:cs="Arial"/>
      <w:b/>
      <w:bCs/>
      <w:sz w:val="20"/>
      <w:szCs w:val="20"/>
      <w:lang w:val="it-IT" w:eastAsia="it-IT"/>
    </w:rPr>
  </w:style>
  <w:style w:type="character" w:customStyle="1" w:styleId="Heading7Char">
    <w:name w:val="Heading 7 Char"/>
    <w:basedOn w:val="DefaultParagraphFont"/>
    <w:link w:val="Heading7"/>
    <w:rsid w:val="00A65A7F"/>
    <w:rPr>
      <w:rFonts w:ascii="Arial" w:eastAsia="Times New Roman" w:hAnsi="Arial" w:cs="Arial"/>
      <w:b/>
      <w:bCs/>
      <w:color w:val="000000"/>
      <w:sz w:val="20"/>
      <w:szCs w:val="20"/>
      <w:lang w:val="it-IT" w:eastAsia="it-IT"/>
    </w:rPr>
  </w:style>
  <w:style w:type="character" w:customStyle="1" w:styleId="Heading8Char">
    <w:name w:val="Heading 8 Char"/>
    <w:basedOn w:val="DefaultParagraphFont"/>
    <w:link w:val="Heading8"/>
    <w:rsid w:val="00A65A7F"/>
    <w:rPr>
      <w:rFonts w:ascii="Arial" w:eastAsia="Times New Roman" w:hAnsi="Arial" w:cs="Arial"/>
      <w:b/>
      <w:bCs/>
      <w:sz w:val="20"/>
      <w:szCs w:val="20"/>
      <w:lang w:val="it-IT" w:eastAsia="it-IT"/>
    </w:rPr>
  </w:style>
  <w:style w:type="character" w:customStyle="1" w:styleId="Heading9Char">
    <w:name w:val="Heading 9 Char"/>
    <w:basedOn w:val="DefaultParagraphFont"/>
    <w:link w:val="Heading9"/>
    <w:rsid w:val="00A65A7F"/>
    <w:rPr>
      <w:rFonts w:ascii="Arial" w:eastAsia="Times New Roman" w:hAnsi="Arial" w:cs="Arial"/>
      <w:sz w:val="22"/>
      <w:szCs w:val="22"/>
      <w:lang w:val="it-IT" w:eastAsia="it-IT"/>
    </w:rPr>
  </w:style>
  <w:style w:type="paragraph" w:styleId="ListParagraph">
    <w:name w:val="List Paragraph"/>
    <w:basedOn w:val="Normal"/>
    <w:uiPriority w:val="34"/>
    <w:qFormat/>
    <w:rsid w:val="00A65A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7F"/>
    <w:rPr>
      <w:rFonts w:ascii="Times New Roman" w:eastAsia="Times New Roman" w:hAnsi="Times New Roman" w:cs="Times New Roman"/>
      <w:lang w:val="it-IT" w:eastAsia="it-IT"/>
    </w:rPr>
  </w:style>
  <w:style w:type="paragraph" w:styleId="Heading1">
    <w:name w:val="heading 1"/>
    <w:basedOn w:val="Normal"/>
    <w:next w:val="Normal"/>
    <w:link w:val="Heading1Char"/>
    <w:qFormat/>
    <w:rsid w:val="00A65A7F"/>
    <w:pPr>
      <w:keepNext/>
      <w:numPr>
        <w:numId w:val="2"/>
      </w:numPr>
      <w:spacing w:before="120" w:after="120"/>
      <w:outlineLvl w:val="0"/>
    </w:pPr>
    <w:rPr>
      <w:rFonts w:ascii="Arial" w:hAnsi="Arial"/>
      <w:b/>
      <w:sz w:val="22"/>
    </w:rPr>
  </w:style>
  <w:style w:type="paragraph" w:styleId="Heading2">
    <w:name w:val="heading 2"/>
    <w:basedOn w:val="Normal"/>
    <w:next w:val="Normal"/>
    <w:link w:val="Heading2Char"/>
    <w:qFormat/>
    <w:rsid w:val="00A65A7F"/>
    <w:pPr>
      <w:keepNext/>
      <w:numPr>
        <w:ilvl w:val="1"/>
        <w:numId w:val="2"/>
      </w:numPr>
      <w:jc w:val="center"/>
      <w:outlineLvl w:val="1"/>
    </w:pPr>
    <w:rPr>
      <w:i/>
      <w:iCs/>
    </w:rPr>
  </w:style>
  <w:style w:type="paragraph" w:styleId="Heading3">
    <w:name w:val="heading 3"/>
    <w:basedOn w:val="Normal"/>
    <w:next w:val="Normal"/>
    <w:link w:val="Heading3Char"/>
    <w:qFormat/>
    <w:rsid w:val="00A65A7F"/>
    <w:pPr>
      <w:keepNext/>
      <w:numPr>
        <w:ilvl w:val="2"/>
        <w:numId w:val="2"/>
      </w:numPr>
      <w:jc w:val="center"/>
      <w:outlineLvl w:val="2"/>
    </w:pPr>
    <w:rPr>
      <w:b/>
      <w:bCs/>
      <w:i/>
      <w:iCs/>
    </w:rPr>
  </w:style>
  <w:style w:type="paragraph" w:styleId="Heading4">
    <w:name w:val="heading 4"/>
    <w:basedOn w:val="Normal"/>
    <w:next w:val="Normal"/>
    <w:link w:val="Heading4Char"/>
    <w:qFormat/>
    <w:rsid w:val="00A65A7F"/>
    <w:pPr>
      <w:keepNext/>
      <w:numPr>
        <w:ilvl w:val="3"/>
        <w:numId w:val="2"/>
      </w:numPr>
      <w:jc w:val="center"/>
      <w:outlineLvl w:val="3"/>
    </w:pPr>
    <w:rPr>
      <w:b/>
      <w:bCs/>
    </w:rPr>
  </w:style>
  <w:style w:type="paragraph" w:styleId="Heading5">
    <w:name w:val="heading 5"/>
    <w:basedOn w:val="Normal"/>
    <w:next w:val="Normal"/>
    <w:link w:val="Heading5Char"/>
    <w:qFormat/>
    <w:rsid w:val="00A65A7F"/>
    <w:pPr>
      <w:keepNext/>
      <w:numPr>
        <w:ilvl w:val="4"/>
        <w:numId w:val="2"/>
      </w:numPr>
      <w:spacing w:line="360" w:lineRule="auto"/>
      <w:jc w:val="center"/>
      <w:outlineLvl w:val="4"/>
    </w:pPr>
    <w:rPr>
      <w:rFonts w:ascii="Comic Sans MS" w:hAnsi="Comic Sans MS"/>
      <w:sz w:val="28"/>
    </w:rPr>
  </w:style>
  <w:style w:type="paragraph" w:styleId="Heading6">
    <w:name w:val="heading 6"/>
    <w:basedOn w:val="Normal"/>
    <w:next w:val="Normal"/>
    <w:link w:val="Heading6Char"/>
    <w:qFormat/>
    <w:rsid w:val="00A65A7F"/>
    <w:pPr>
      <w:keepNext/>
      <w:numPr>
        <w:ilvl w:val="5"/>
        <w:numId w:val="2"/>
      </w:numPr>
      <w:outlineLvl w:val="5"/>
    </w:pPr>
    <w:rPr>
      <w:rFonts w:ascii="Arial" w:hAnsi="Arial" w:cs="Arial"/>
      <w:b/>
      <w:bCs/>
      <w:sz w:val="20"/>
      <w:szCs w:val="20"/>
    </w:rPr>
  </w:style>
  <w:style w:type="paragraph" w:styleId="Heading7">
    <w:name w:val="heading 7"/>
    <w:basedOn w:val="Normal"/>
    <w:next w:val="Normal"/>
    <w:link w:val="Heading7Char"/>
    <w:qFormat/>
    <w:rsid w:val="00A65A7F"/>
    <w:pPr>
      <w:keepNext/>
      <w:numPr>
        <w:ilvl w:val="6"/>
        <w:numId w:val="2"/>
      </w:numPr>
      <w:autoSpaceDE w:val="0"/>
      <w:autoSpaceDN w:val="0"/>
      <w:adjustRightInd w:val="0"/>
      <w:jc w:val="center"/>
      <w:outlineLvl w:val="6"/>
    </w:pPr>
    <w:rPr>
      <w:rFonts w:ascii="Arial" w:hAnsi="Arial" w:cs="Arial"/>
      <w:b/>
      <w:bCs/>
      <w:color w:val="000000"/>
      <w:sz w:val="20"/>
      <w:szCs w:val="20"/>
    </w:rPr>
  </w:style>
  <w:style w:type="paragraph" w:styleId="Heading8">
    <w:name w:val="heading 8"/>
    <w:basedOn w:val="Normal"/>
    <w:next w:val="Normal"/>
    <w:link w:val="Heading8Char"/>
    <w:qFormat/>
    <w:rsid w:val="00A65A7F"/>
    <w:pPr>
      <w:keepNext/>
      <w:numPr>
        <w:ilvl w:val="7"/>
        <w:numId w:val="2"/>
      </w:numPr>
      <w:jc w:val="center"/>
      <w:outlineLvl w:val="7"/>
    </w:pPr>
    <w:rPr>
      <w:rFonts w:ascii="Arial" w:hAnsi="Arial" w:cs="Arial"/>
      <w:b/>
      <w:bCs/>
      <w:sz w:val="20"/>
      <w:szCs w:val="20"/>
    </w:rPr>
  </w:style>
  <w:style w:type="paragraph" w:styleId="Heading9">
    <w:name w:val="heading 9"/>
    <w:basedOn w:val="Normal"/>
    <w:next w:val="Normal"/>
    <w:link w:val="Heading9Char"/>
    <w:qFormat/>
    <w:rsid w:val="00A65A7F"/>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A7F"/>
    <w:rPr>
      <w:rFonts w:ascii="Arial" w:eastAsia="Times New Roman" w:hAnsi="Arial" w:cs="Times New Roman"/>
      <w:b/>
      <w:sz w:val="22"/>
      <w:lang w:val="it-IT" w:eastAsia="it-IT"/>
    </w:rPr>
  </w:style>
  <w:style w:type="character" w:customStyle="1" w:styleId="Heading2Char">
    <w:name w:val="Heading 2 Char"/>
    <w:basedOn w:val="DefaultParagraphFont"/>
    <w:link w:val="Heading2"/>
    <w:rsid w:val="00A65A7F"/>
    <w:rPr>
      <w:rFonts w:ascii="Times New Roman" w:eastAsia="Times New Roman" w:hAnsi="Times New Roman" w:cs="Times New Roman"/>
      <w:i/>
      <w:iCs/>
      <w:lang w:val="it-IT" w:eastAsia="it-IT"/>
    </w:rPr>
  </w:style>
  <w:style w:type="character" w:customStyle="1" w:styleId="Heading3Char">
    <w:name w:val="Heading 3 Char"/>
    <w:basedOn w:val="DefaultParagraphFont"/>
    <w:link w:val="Heading3"/>
    <w:rsid w:val="00A65A7F"/>
    <w:rPr>
      <w:rFonts w:ascii="Times New Roman" w:eastAsia="Times New Roman" w:hAnsi="Times New Roman" w:cs="Times New Roman"/>
      <w:b/>
      <w:bCs/>
      <w:i/>
      <w:iCs/>
      <w:lang w:val="it-IT" w:eastAsia="it-IT"/>
    </w:rPr>
  </w:style>
  <w:style w:type="character" w:customStyle="1" w:styleId="Heading4Char">
    <w:name w:val="Heading 4 Char"/>
    <w:basedOn w:val="DefaultParagraphFont"/>
    <w:link w:val="Heading4"/>
    <w:rsid w:val="00A65A7F"/>
    <w:rPr>
      <w:rFonts w:ascii="Times New Roman" w:eastAsia="Times New Roman" w:hAnsi="Times New Roman" w:cs="Times New Roman"/>
      <w:b/>
      <w:bCs/>
      <w:lang w:val="it-IT" w:eastAsia="it-IT"/>
    </w:rPr>
  </w:style>
  <w:style w:type="character" w:customStyle="1" w:styleId="Heading5Char">
    <w:name w:val="Heading 5 Char"/>
    <w:basedOn w:val="DefaultParagraphFont"/>
    <w:link w:val="Heading5"/>
    <w:rsid w:val="00A65A7F"/>
    <w:rPr>
      <w:rFonts w:ascii="Comic Sans MS" w:eastAsia="Times New Roman" w:hAnsi="Comic Sans MS" w:cs="Times New Roman"/>
      <w:sz w:val="28"/>
      <w:lang w:val="it-IT" w:eastAsia="it-IT"/>
    </w:rPr>
  </w:style>
  <w:style w:type="character" w:customStyle="1" w:styleId="Heading6Char">
    <w:name w:val="Heading 6 Char"/>
    <w:basedOn w:val="DefaultParagraphFont"/>
    <w:link w:val="Heading6"/>
    <w:rsid w:val="00A65A7F"/>
    <w:rPr>
      <w:rFonts w:ascii="Arial" w:eastAsia="Times New Roman" w:hAnsi="Arial" w:cs="Arial"/>
      <w:b/>
      <w:bCs/>
      <w:sz w:val="20"/>
      <w:szCs w:val="20"/>
      <w:lang w:val="it-IT" w:eastAsia="it-IT"/>
    </w:rPr>
  </w:style>
  <w:style w:type="character" w:customStyle="1" w:styleId="Heading7Char">
    <w:name w:val="Heading 7 Char"/>
    <w:basedOn w:val="DefaultParagraphFont"/>
    <w:link w:val="Heading7"/>
    <w:rsid w:val="00A65A7F"/>
    <w:rPr>
      <w:rFonts w:ascii="Arial" w:eastAsia="Times New Roman" w:hAnsi="Arial" w:cs="Arial"/>
      <w:b/>
      <w:bCs/>
      <w:color w:val="000000"/>
      <w:sz w:val="20"/>
      <w:szCs w:val="20"/>
      <w:lang w:val="it-IT" w:eastAsia="it-IT"/>
    </w:rPr>
  </w:style>
  <w:style w:type="character" w:customStyle="1" w:styleId="Heading8Char">
    <w:name w:val="Heading 8 Char"/>
    <w:basedOn w:val="DefaultParagraphFont"/>
    <w:link w:val="Heading8"/>
    <w:rsid w:val="00A65A7F"/>
    <w:rPr>
      <w:rFonts w:ascii="Arial" w:eastAsia="Times New Roman" w:hAnsi="Arial" w:cs="Arial"/>
      <w:b/>
      <w:bCs/>
      <w:sz w:val="20"/>
      <w:szCs w:val="20"/>
      <w:lang w:val="it-IT" w:eastAsia="it-IT"/>
    </w:rPr>
  </w:style>
  <w:style w:type="character" w:customStyle="1" w:styleId="Heading9Char">
    <w:name w:val="Heading 9 Char"/>
    <w:basedOn w:val="DefaultParagraphFont"/>
    <w:link w:val="Heading9"/>
    <w:rsid w:val="00A65A7F"/>
    <w:rPr>
      <w:rFonts w:ascii="Arial" w:eastAsia="Times New Roman" w:hAnsi="Arial" w:cs="Arial"/>
      <w:sz w:val="22"/>
      <w:szCs w:val="22"/>
      <w:lang w:val="it-IT" w:eastAsia="it-IT"/>
    </w:rPr>
  </w:style>
  <w:style w:type="paragraph" w:styleId="ListParagraph">
    <w:name w:val="List Paragraph"/>
    <w:basedOn w:val="Normal"/>
    <w:uiPriority w:val="34"/>
    <w:qFormat/>
    <w:rsid w:val="00A65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950</Words>
  <Characters>5421</Characters>
  <Application>Microsoft Macintosh Word</Application>
  <DocSecurity>0</DocSecurity>
  <Lines>45</Lines>
  <Paragraphs>12</Paragraphs>
  <ScaleCrop>false</ScaleCrop>
  <Company>INAF</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Maria Zerbi</dc:creator>
  <cp:keywords/>
  <dc:description/>
  <cp:lastModifiedBy>Filippo Maria Zerbi</cp:lastModifiedBy>
  <cp:revision>1</cp:revision>
  <dcterms:created xsi:type="dcterms:W3CDTF">2015-06-18T07:24:00Z</dcterms:created>
  <dcterms:modified xsi:type="dcterms:W3CDTF">2015-06-18T07:29:00Z</dcterms:modified>
</cp:coreProperties>
</file>