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media/image57.png" ContentType="image/png"/>
  <Override PartName="/word/media/image3.png" ContentType="image/png"/>
  <Override PartName="/word/media/image94.png" ContentType="image/png"/>
  <Override PartName="/word/media/image21.png" ContentType="image/png"/>
  <Override PartName="/word/media/image28.png" ContentType="image/png"/>
  <Override PartName="/word/media/image65.png" ContentType="image/png"/>
  <Override PartName="/word/media/image36.png" ContentType="image/png"/>
  <Override PartName="/word/media/image106.png" ContentType="image/png"/>
  <Override PartName="/word/media/image73.png" ContentType="image/png"/>
  <Override PartName="/word/media/image44.png" ContentType="image/png"/>
  <Override PartName="/word/media/image88.png" ContentType="image/png"/>
  <Override PartName="/word/media/image15.png" ContentType="image/png"/>
  <Override PartName="/word/media/image52.png" ContentType="image/png"/>
  <Override PartName="/word/media/image59.png" ContentType="image/png"/>
  <Override PartName="/word/media/image5.png" ContentType="image/png"/>
  <Override PartName="/word/media/image96.png" ContentType="image/png"/>
  <Override PartName="/word/media/image23.png" ContentType="image/png"/>
  <Override PartName="/word/media/image60.png" ContentType="image/png"/>
  <Override PartName="/word/media/image67.png" ContentType="image/png"/>
  <Override PartName="/word/media/image31.png" ContentType="image/png"/>
  <Override PartName="/word/media/image38.png" ContentType="image/png"/>
  <Override PartName="/word/media/image101.png" ContentType="image/png"/>
  <Override PartName="/word/media/image75.png" ContentType="image/png"/>
  <Override PartName="/word/media/image46.png" ContentType="image/png"/>
  <Override PartName="/word/media/image83.png" ContentType="image/png"/>
  <Override PartName="/word/media/image10.png" ContentType="image/png"/>
  <Override PartName="/word/media/image17.png" ContentType="image/png"/>
  <Override PartName="/word/media/image54.png" ContentType="image/png"/>
  <Override PartName="/word/media/image7.png" ContentType="image/png"/>
  <Override PartName="/word/media/image91.png" ContentType="image/png"/>
  <Override PartName="/word/media/image98.png" ContentType="image/png"/>
  <Override PartName="/word/media/image25.png" ContentType="image/png"/>
  <Override PartName="/word/media/image62.png" ContentType="image/png"/>
  <Override PartName="/word/media/image69.png" ContentType="image/png"/>
  <Override PartName="/word/media/image33.png" ContentType="image/png"/>
  <Override PartName="/word/media/image103.png" ContentType="image/png"/>
  <Override PartName="/word/media/image70.png" ContentType="image/png"/>
  <Override PartName="/word/media/image77.png" ContentType="image/png"/>
  <Override PartName="/word/media/image41.png" ContentType="image/png"/>
  <Override PartName="/word/media/image48.png" ContentType="image/png"/>
  <Override PartName="/word/media/image85.png" ContentType="image/png"/>
  <Override PartName="/word/media/image12.png" ContentType="image/png"/>
  <Override PartName="/word/media/image19.png" ContentType="image/png"/>
  <Override PartName="/word/media/image2.png" ContentType="image/png"/>
  <Override PartName="/word/media/image56.png" ContentType="image/png"/>
  <Override PartName="/word/media/image9.png" ContentType="image/png"/>
  <Override PartName="/word/media/image93.png" ContentType="image/png"/>
  <Override PartName="/word/media/image20.png" ContentType="image/png"/>
  <Override PartName="/word/media/image27.png" ContentType="image/png"/>
  <Override PartName="/word/media/image64.png" ContentType="image/png"/>
  <Override PartName="/word/media/image35.png" ContentType="image/png"/>
  <Override PartName="/word/media/image105.png" ContentType="image/png"/>
  <Override PartName="/word/media/image72.png" ContentType="image/png"/>
  <Override PartName="/word/media/image79.png" ContentType="image/png"/>
  <Override PartName="/word/media/image43.png" ContentType="image/png"/>
  <Override PartName="/word/media/image80.png" ContentType="image/png"/>
  <Override PartName="/word/media/image87.png" ContentType="image/png"/>
  <Override PartName="/word/media/image14.png" ContentType="image/png"/>
  <Override PartName="/word/media/image51.png" ContentType="image/png"/>
  <Override PartName="/word/media/image4.png" ContentType="image/png"/>
  <Override PartName="/word/media/image58.png" ContentType="image/png"/>
  <Override PartName="/word/media/image95.png" ContentType="image/png"/>
  <Override PartName="/word/media/image22.png" ContentType="image/png"/>
  <Override PartName="/word/media/image29.png" ContentType="image/png"/>
  <Override PartName="/word/media/image66.png" ContentType="image/png"/>
  <Override PartName="/word/media/image30.png" ContentType="image/png"/>
  <Override PartName="/word/media/image37.png" ContentType="image/png"/>
  <Override PartName="/word/media/image100.png" ContentType="image/png"/>
  <Override PartName="/word/media/image107.png" ContentType="image/png"/>
  <Override PartName="/word/media/image74.png" ContentType="image/png"/>
  <Override PartName="/word/media/image45.png" ContentType="image/png"/>
  <Override PartName="/word/media/image82.png" ContentType="image/png"/>
  <Override PartName="/word/media/image89.png" ContentType="image/png"/>
  <Override PartName="/word/media/image16.png" ContentType="image/png"/>
  <Override PartName="/word/media/image53.png" ContentType="image/png"/>
  <Override PartName="/word/media/image6.png" ContentType="image/png"/>
  <Override PartName="/word/media/image90.png" ContentType="image/png"/>
  <Override PartName="/word/media/image97.png" ContentType="image/png"/>
  <Override PartName="/word/media/image24.png" ContentType="image/png"/>
  <Override PartName="/word/media/image61.png" ContentType="image/png"/>
  <Override PartName="/word/media/image68.png" ContentType="image/png"/>
  <Override PartName="/word/media/image32.png" ContentType="image/png"/>
  <Override PartName="/word/media/image39.png" ContentType="image/png"/>
  <Override PartName="/word/media/image102.png" ContentType="image/png"/>
  <Override PartName="/word/media/image76.png" ContentType="image/png"/>
  <Override PartName="/word/media/image40.png" ContentType="image/png"/>
  <Override PartName="/word/media/image47.png" ContentType="image/png"/>
  <Override PartName="/word/media/image84.png" ContentType="image/png"/>
  <Override PartName="/word/media/image11.png" ContentType="image/png"/>
  <Override PartName="/word/media/image18.png" ContentType="image/png"/>
  <Override PartName="/word/media/image55.png" ContentType="image/png"/>
  <Override PartName="/word/media/image1.png" ContentType="image/png"/>
  <Override PartName="/word/media/image8.png" ContentType="image/png"/>
  <Override PartName="/word/media/image92.png" ContentType="image/png"/>
  <Override PartName="/word/media/image99.png" ContentType="image/png"/>
  <Override PartName="/word/media/image26.png" ContentType="image/png"/>
  <Override PartName="/word/media/image63.png" ContentType="image/png"/>
  <Override PartName="/word/media/image34.png" ContentType="image/png"/>
  <Override PartName="/word/media/image104.png" ContentType="image/png"/>
  <Override PartName="/word/media/image71.png" ContentType="image/png"/>
  <Override PartName="/word/media/image78.png" ContentType="image/png"/>
  <Override PartName="/word/media/image42.png" ContentType="image/png"/>
  <Override PartName="/word/media/image49.png" ContentType="image/png"/>
  <Override PartName="/word/media/image86.png" ContentType="image/png"/>
  <Override PartName="/word/media/image81.wmf" ContentType="image/x-wmf"/>
  <Override PartName="/word/media/image13.png" ContentType="image/png"/>
  <Override PartName="/word/media/image50.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t>Impact of the Italian astronomical community on the ground and space observational facilities: 2008-2012</w:t>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rPr>
        <w:t xml:space="preserve">A report by </w:t>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rPr>
        <w:t>the Consiglio Scientifico of INAF</w:t>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jc w:val="center"/>
      </w:pPr>
      <w:r>
        <w:rPr>
          <w:rFonts w:ascii="Calibri" w:cs="" w:hAnsi="Calibri"/>
          <w:b/>
          <w:bCs/>
          <w:color w:val="345A8A"/>
          <w:sz w:val="52"/>
          <w:szCs w:val="52"/>
        </w:rPr>
      </w:r>
    </w:p>
    <w:p>
      <w:pPr>
        <w:pStyle w:val="style0"/>
      </w:pPr>
      <w:r>
        <w:rPr>
          <w:rFonts w:ascii="Calibri" w:cs="" w:hAnsi="Calibri"/>
          <w:b/>
          <w:bCs/>
          <w:color w:val="345A8A"/>
        </w:rPr>
      </w:r>
    </w:p>
    <w:p>
      <w:pPr>
        <w:pStyle w:val="style37"/>
        <w:pageBreakBefore/>
        <w:widowControl w:val="false"/>
        <w:numPr>
          <w:ilvl w:val="0"/>
          <w:numId w:val="5"/>
        </w:numPr>
        <w:tabs>
          <w:tab w:leader="none" w:pos="1280" w:val="left"/>
          <w:tab w:leader="none" w:pos="1840" w:val="left"/>
          <w:tab w:leader="none" w:pos="2400" w:val="left"/>
          <w:tab w:leader="none" w:pos="2960" w:val="left"/>
          <w:tab w:leader="none" w:pos="3520" w:val="left"/>
          <w:tab w:leader="none" w:pos="4080" w:val="left"/>
          <w:tab w:leader="none" w:pos="4640" w:val="left"/>
          <w:tab w:leader="none" w:pos="5200" w:val="left"/>
          <w:tab w:leader="none" w:pos="5760" w:val="left"/>
          <w:tab w:leader="none" w:pos="6320" w:val="left"/>
          <w:tab w:leader="none" w:pos="6880" w:val="left"/>
          <w:tab w:leader="none" w:pos="7440" w:val="left"/>
        </w:tabs>
      </w:pPr>
      <w:r>
        <w:rPr>
          <w:rFonts w:ascii="Calibri" w:cs="" w:hAnsi="Calibri"/>
          <w:b/>
          <w:bCs/>
          <w:color w:val="345A8A"/>
          <w:sz w:val="40"/>
          <w:szCs w:val="40"/>
        </w:rPr>
        <w:t>Intro</w:t>
      </w:r>
      <w:r>
        <w:rPr>
          <w:rFonts w:ascii="Calibri" w:cs="" w:hAnsi="Calibri"/>
          <w:b/>
          <w:bCs/>
          <w:color w:val="365F91"/>
          <w:sz w:val="40"/>
          <w:szCs w:val="40"/>
        </w:rPr>
        <w:t>duc</w:t>
      </w:r>
      <w:r>
        <w:rPr>
          <w:rFonts w:ascii="Calibri" w:cs="" w:hAnsi="Calibri"/>
          <w:b/>
          <w:bCs/>
          <w:color w:val="345A8A"/>
          <w:sz w:val="40"/>
          <w:szCs w:val="40"/>
        </w:rPr>
        <w:t>tion</w:t>
      </w:r>
    </w:p>
    <w:p>
      <w:pPr>
        <w:pStyle w:val="style0"/>
        <w:jc w:val="both"/>
      </w:pPr>
      <w:r>
        <w:rPr>
          <w:rFonts w:ascii="Times New Roman" w:cs="Times New Roman" w:hAnsi="Times New Roman"/>
          <w:color w:val="000000"/>
          <w:sz w:val="28"/>
          <w:szCs w:val="28"/>
        </w:rPr>
      </w:r>
    </w:p>
    <w:p>
      <w:pPr>
        <w:pStyle w:val="style0"/>
        <w:jc w:val="both"/>
      </w:pPr>
      <w:r>
        <w:rPr>
          <w:rFonts w:ascii="Times New Roman" w:cs="Times New Roman" w:hAnsi="Times New Roman"/>
          <w:color w:val="000000"/>
          <w:sz w:val="28"/>
          <w:szCs w:val="28"/>
        </w:rPr>
        <w:t>The aim of this report is to provide some hints on the present use of ground and space observational facilities by the Italian astronomical community. To this purpose, it is presented the Italy/World comparison of the allocated time of each facility and instrument along the years (2008-2012 and 2013 when available) including some information concerning the proposal scientific categories foreseen for the observational time request of each facility. Data on the scientific production – in terms of papers on refereed journals - are also presented for each facility.</w:t>
      </w:r>
    </w:p>
    <w:p>
      <w:pPr>
        <w:pStyle w:val="style0"/>
        <w:jc w:val="both"/>
      </w:pPr>
      <w:r>
        <w:rPr>
          <w:rFonts w:ascii="Times New Roman" w:cs="Times New Roman" w:hAnsi="Times New Roman"/>
          <w:color w:val="000000"/>
          <w:sz w:val="28"/>
          <w:szCs w:val="28"/>
        </w:rPr>
        <w:t>The data have been collected with the precious help of M. Perri and G. Perini (ASDC), F. Patat (ESO), E. Molinari (TNG), A. Fontana (LBT), C. Stanghellini (IRA) e P. Schipani (CS). Due to the intrinsic inhomogeneity, the report is arranged to show the data of each single facility in one section. Few comments are provided at this step of presentation, leaving the general comments to the CS and CdA of INAF.</w:t>
      </w:r>
    </w:p>
    <w:p>
      <w:pPr>
        <w:pStyle w:val="style0"/>
        <w:jc w:val="both"/>
      </w:pPr>
      <w:r>
        <w:rPr>
          <w:rFonts w:ascii="Times New Roman" w:cs="Times New Roman" w:hAnsi="Times New Roman"/>
          <w:color w:val="000000"/>
          <w:sz w:val="28"/>
          <w:szCs w:val="28"/>
        </w:rPr>
        <w:t>The data available at the moment refers to the following facilities:</w:t>
      </w:r>
    </w:p>
    <w:p>
      <w:pPr>
        <w:pStyle w:val="style0"/>
        <w:jc w:val="both"/>
      </w:pPr>
      <w:r>
        <w:rPr>
          <w:rFonts w:ascii="Times New Roman" w:cs="Times New Roman" w:hAnsi="Times New Roman"/>
          <w:b/>
          <w:i/>
          <w:color w:val="000000"/>
          <w:sz w:val="28"/>
          <w:szCs w:val="28"/>
        </w:rPr>
        <w:t>Space:</w:t>
      </w:r>
    </w:p>
    <w:p>
      <w:pPr>
        <w:pStyle w:val="style37"/>
        <w:numPr>
          <w:ilvl w:val="0"/>
          <w:numId w:val="2"/>
        </w:numPr>
        <w:jc w:val="both"/>
      </w:pPr>
      <w:r>
        <w:rPr>
          <w:rFonts w:ascii="Times New Roman" w:cs="Times New Roman" w:hAnsi="Times New Roman"/>
          <w:color w:val="000000"/>
          <w:sz w:val="28"/>
          <w:szCs w:val="28"/>
        </w:rPr>
        <w:t>INTEGRAL</w:t>
      </w:r>
    </w:p>
    <w:p>
      <w:pPr>
        <w:pStyle w:val="style37"/>
        <w:numPr>
          <w:ilvl w:val="0"/>
          <w:numId w:val="2"/>
        </w:numPr>
        <w:jc w:val="both"/>
      </w:pPr>
      <w:r>
        <w:rPr>
          <w:rFonts w:ascii="Times New Roman" w:cs="Times New Roman" w:hAnsi="Times New Roman"/>
          <w:color w:val="000000"/>
          <w:sz w:val="28"/>
          <w:szCs w:val="28"/>
        </w:rPr>
        <w:t>FERMI</w:t>
      </w:r>
    </w:p>
    <w:p>
      <w:pPr>
        <w:pStyle w:val="style37"/>
        <w:numPr>
          <w:ilvl w:val="0"/>
          <w:numId w:val="2"/>
        </w:numPr>
        <w:jc w:val="both"/>
      </w:pPr>
      <w:r>
        <w:rPr>
          <w:rFonts w:ascii="Times New Roman" w:cs="Times New Roman" w:hAnsi="Times New Roman"/>
          <w:color w:val="000000"/>
          <w:sz w:val="28"/>
          <w:szCs w:val="28"/>
        </w:rPr>
        <w:t>XMM</w:t>
      </w:r>
    </w:p>
    <w:p>
      <w:pPr>
        <w:pStyle w:val="style37"/>
        <w:numPr>
          <w:ilvl w:val="0"/>
          <w:numId w:val="2"/>
        </w:numPr>
        <w:jc w:val="both"/>
      </w:pPr>
      <w:r>
        <w:rPr>
          <w:rFonts w:ascii="Times New Roman" w:cs="Times New Roman" w:hAnsi="Times New Roman"/>
          <w:color w:val="000000"/>
          <w:sz w:val="28"/>
          <w:szCs w:val="28"/>
        </w:rPr>
        <w:t>AGILE</w:t>
      </w:r>
    </w:p>
    <w:p>
      <w:pPr>
        <w:pStyle w:val="style37"/>
        <w:numPr>
          <w:ilvl w:val="0"/>
          <w:numId w:val="2"/>
        </w:numPr>
        <w:jc w:val="both"/>
      </w:pPr>
      <w:r>
        <w:rPr>
          <w:rFonts w:ascii="Times New Roman" w:cs="Times New Roman" w:hAnsi="Times New Roman"/>
          <w:color w:val="000000"/>
          <w:sz w:val="28"/>
          <w:szCs w:val="28"/>
        </w:rPr>
        <w:t>SWIFT</w:t>
      </w:r>
    </w:p>
    <w:p>
      <w:pPr>
        <w:pStyle w:val="style37"/>
        <w:widowControl w:val="false"/>
        <w:numPr>
          <w:ilvl w:val="0"/>
          <w:numId w:val="2"/>
        </w:numPr>
      </w:pPr>
      <w:r>
        <w:rPr>
          <w:rFonts w:ascii="Helvetica" w:cs="Helvetica" w:hAnsi="Helvetica"/>
        </w:rPr>
        <w:t>HERSCHEL</w:t>
      </w:r>
    </w:p>
    <w:p>
      <w:pPr>
        <w:pStyle w:val="style37"/>
        <w:widowControl w:val="false"/>
        <w:numPr>
          <w:ilvl w:val="0"/>
          <w:numId w:val="2"/>
        </w:numPr>
      </w:pPr>
      <w:r>
        <w:rPr>
          <w:rFonts w:ascii="Helvetica" w:cs="Helvetica" w:hAnsi="Helvetica"/>
        </w:rPr>
        <w:t>HST</w:t>
      </w:r>
    </w:p>
    <w:p>
      <w:pPr>
        <w:pStyle w:val="style37"/>
        <w:widowControl w:val="false"/>
        <w:numPr>
          <w:ilvl w:val="0"/>
          <w:numId w:val="2"/>
        </w:numPr>
      </w:pPr>
      <w:r>
        <w:rPr>
          <w:rFonts w:ascii="Helvetica" w:cs="Helvetica" w:hAnsi="Helvetica"/>
        </w:rPr>
        <w:t>CHANDRA</w:t>
      </w:r>
    </w:p>
    <w:p>
      <w:pPr>
        <w:pStyle w:val="style0"/>
        <w:jc w:val="both"/>
      </w:pPr>
      <w:r>
        <w:rPr>
          <w:rFonts w:ascii="Times New Roman" w:cs="Times New Roman" w:hAnsi="Times New Roman"/>
          <w:b/>
          <w:i/>
          <w:color w:val="000000"/>
          <w:sz w:val="28"/>
          <w:szCs w:val="28"/>
        </w:rPr>
        <w:t>Ground:</w:t>
      </w:r>
    </w:p>
    <w:p>
      <w:pPr>
        <w:pStyle w:val="style37"/>
        <w:numPr>
          <w:ilvl w:val="0"/>
          <w:numId w:val="2"/>
        </w:numPr>
        <w:jc w:val="both"/>
      </w:pPr>
      <w:r>
        <w:rPr>
          <w:rFonts w:ascii="Times New Roman" w:cs="Times New Roman" w:hAnsi="Times New Roman"/>
          <w:color w:val="000000"/>
          <w:sz w:val="28"/>
          <w:szCs w:val="28"/>
        </w:rPr>
        <w:t>ESO (VLT, VLTI, NTT, VISTA, 3.6m, 2.2m, 1.5m, ALMA, APEX)</w:t>
      </w:r>
    </w:p>
    <w:p>
      <w:pPr>
        <w:pStyle w:val="style37"/>
        <w:numPr>
          <w:ilvl w:val="0"/>
          <w:numId w:val="2"/>
        </w:numPr>
        <w:jc w:val="both"/>
      </w:pPr>
      <w:r>
        <w:rPr>
          <w:rFonts w:ascii="Times New Roman" w:cs="Times New Roman" w:hAnsi="Times New Roman"/>
          <w:color w:val="000000"/>
          <w:sz w:val="28"/>
          <w:szCs w:val="28"/>
        </w:rPr>
        <w:t>TNG</w:t>
      </w:r>
    </w:p>
    <w:p>
      <w:pPr>
        <w:pStyle w:val="style37"/>
        <w:numPr>
          <w:ilvl w:val="0"/>
          <w:numId w:val="2"/>
        </w:numPr>
        <w:jc w:val="both"/>
      </w:pPr>
      <w:r>
        <w:rPr>
          <w:rFonts w:ascii="Times New Roman" w:cs="Times New Roman" w:hAnsi="Times New Roman"/>
          <w:color w:val="000000"/>
          <w:sz w:val="28"/>
          <w:szCs w:val="28"/>
        </w:rPr>
        <w:t>LBT</w:t>
      </w:r>
    </w:p>
    <w:p>
      <w:pPr>
        <w:pStyle w:val="style37"/>
        <w:numPr>
          <w:ilvl w:val="0"/>
          <w:numId w:val="2"/>
        </w:numPr>
        <w:jc w:val="both"/>
      </w:pPr>
      <w:r>
        <w:rPr>
          <w:rFonts w:ascii="Times New Roman" w:cs="Times New Roman" w:hAnsi="Times New Roman"/>
          <w:color w:val="000000"/>
          <w:sz w:val="28"/>
          <w:szCs w:val="28"/>
        </w:rPr>
        <w:t>Medicina and Noto Radiotelescopes</w:t>
      </w:r>
    </w:p>
    <w:p>
      <w:pPr>
        <w:pStyle w:val="style0"/>
        <w:jc w:val="both"/>
      </w:pPr>
      <w:r>
        <w:rPr>
          <w:rFonts w:ascii="Times New Roman" w:cs="Times New Roman" w:hAnsi="Times New Roman"/>
          <w:color w:val="000000"/>
          <w:sz w:val="28"/>
          <w:szCs w:val="28"/>
        </w:rPr>
      </w:r>
    </w:p>
    <w:p>
      <w:pPr>
        <w:pStyle w:val="style0"/>
        <w:jc w:val="both"/>
      </w:pPr>
      <w:r>
        <w:rPr>
          <w:rFonts w:ascii="Times New Roman" w:cs="Times New Roman" w:hAnsi="Times New Roman"/>
          <w:color w:val="000000"/>
          <w:sz w:val="28"/>
          <w:szCs w:val="28"/>
        </w:rPr>
      </w:r>
    </w:p>
    <w:p>
      <w:pPr>
        <w:pStyle w:val="style0"/>
        <w:widowControl w:val="false"/>
        <w:tabs>
          <w:tab w:leader="none" w:pos="560" w:val="left"/>
          <w:tab w:leader="none" w:pos="1120" w:val="left"/>
          <w:tab w:leader="none" w:pos="1680" w:val="left"/>
          <w:tab w:leader="none" w:pos="2240" w:val="left"/>
          <w:tab w:leader="none" w:pos="2800" w:val="left"/>
          <w:tab w:leader="none" w:pos="3360" w:val="left"/>
          <w:tab w:leader="none" w:pos="3920" w:val="left"/>
          <w:tab w:leader="none" w:pos="4480" w:val="left"/>
          <w:tab w:leader="none" w:pos="5040" w:val="left"/>
          <w:tab w:leader="none" w:pos="5600" w:val="left"/>
          <w:tab w:leader="none" w:pos="6160" w:val="left"/>
          <w:tab w:leader="none" w:pos="6720" w:val="left"/>
        </w:tabs>
      </w:pPr>
      <w:r>
        <w:rPr>
          <w:rFonts w:ascii="Times New Roman" w:cs="Times New Roman" w:hAnsi="Times New Roman"/>
          <w:color w:val="365F91"/>
          <w:sz w:val="36"/>
          <w:szCs w:val="36"/>
        </w:rPr>
        <w:t>The databases</w:t>
      </w:r>
    </w:p>
    <w:p>
      <w:pPr>
        <w:pStyle w:val="style0"/>
        <w:jc w:val="both"/>
      </w:pPr>
      <w:r>
        <w:rPr>
          <w:rFonts w:ascii="Times New Roman" w:cs="Times New Roman" w:hAnsi="Times New Roman"/>
          <w:color w:val="000000"/>
          <w:sz w:val="28"/>
          <w:szCs w:val="28"/>
        </w:rPr>
        <w:t>The data used for this report are typically collected from public databases with specific queries. In particular, the specific sources of information concerning space facilities are reported at the beginning of the dedicated section. In the case of the ESO facilities the data on the allocated time to Italian P.I.s have been requested to the Observing Programmes Office of ESO, while the data concerning publications originate from specific queries to the Telescope Bibliography maintained by the ESO library (</w:t>
      </w:r>
      <w:hyperlink r:id="rId2">
        <w:r>
          <w:rPr>
            <w:rStyle w:val="style17"/>
            <w:rFonts w:ascii="Times New Roman" w:cs="Times New Roman" w:hAnsi="Times New Roman"/>
            <w:sz w:val="28"/>
            <w:szCs w:val="28"/>
          </w:rPr>
          <w:t>http://telbib.eso.org/</w:t>
        </w:r>
      </w:hyperlink>
      <w:r>
        <w:rPr>
          <w:rFonts w:ascii="Times New Roman" w:cs="Times New Roman" w:hAnsi="Times New Roman"/>
          <w:color w:val="000000"/>
          <w:sz w:val="28"/>
          <w:szCs w:val="28"/>
        </w:rPr>
        <w:t>). E. Molinari and A. Fontana have kindly provided TNG and LBT data.</w:t>
      </w:r>
    </w:p>
    <w:p>
      <w:pPr>
        <w:pStyle w:val="style0"/>
      </w:pPr>
      <w:r>
        <w:rPr>
          <w:rFonts w:ascii="Times New Roman" w:cs="Times New Roman" w:hAnsi="Times New Roman"/>
          <w:color w:val="000000"/>
          <w:sz w:val="28"/>
          <w:szCs w:val="28"/>
        </w:rPr>
      </w:r>
    </w:p>
    <w:p>
      <w:pPr>
        <w:pStyle w:val="style0"/>
        <w:jc w:val="both"/>
      </w:pPr>
      <w:r>
        <w:rPr>
          <w:rFonts w:ascii="Times New Roman" w:cs="Times New Roman" w:hAnsi="Times New Roman"/>
          <w:color w:val="000000"/>
          <w:sz w:val="28"/>
          <w:szCs w:val="28"/>
        </w:rPr>
        <w:t>The papers have been separated in to two samples (Italy/World) according to the affiliation of the first author. The Italian affiliations include INAF and Italian Universities (so that a large number of researchers associated to INAF are also included). Authors affiliated to INFN are also included but they have statistical relevance mainly for the FERMI mission (papers with first author by INAF and INFN have been separated).</w:t>
      </w:r>
    </w:p>
    <w:p>
      <w:pPr>
        <w:pStyle w:val="style0"/>
        <w:jc w:val="both"/>
      </w:pPr>
      <w:r>
        <w:rPr>
          <w:rFonts w:ascii="Times New Roman" w:cs="Times New Roman" w:hAnsi="Times New Roman"/>
          <w:color w:val="000000"/>
          <w:sz w:val="28"/>
          <w:szCs w:val="28"/>
        </w:rPr>
        <w:t xml:space="preserve">Papers are related to each mission by explicit citation in the abstract of the papers of the name of the mission. This method has been checked to be in good agreement (within 5%) with other works that make use of more detailed search and analysis methods. </w:t>
      </w:r>
    </w:p>
    <w:p>
      <w:pPr>
        <w:pStyle w:val="style0"/>
        <w:jc w:val="both"/>
      </w:pPr>
      <w:r>
        <w:rPr>
          <w:rFonts w:ascii="Times New Roman" w:cs="Times New Roman" w:hAnsi="Times New Roman"/>
          <w:color w:val="000000"/>
          <w:sz w:val="28"/>
          <w:szCs w:val="28"/>
        </w:rPr>
      </w:r>
    </w:p>
    <w:p>
      <w:pPr>
        <w:pStyle w:val="style0"/>
        <w:jc w:val="both"/>
      </w:pPr>
      <w:r>
        <w:rPr>
          <w:rFonts w:ascii="Times New Roman" w:cs="Times New Roman" w:hAnsi="Times New Roman"/>
          <w:color w:val="000000"/>
          <w:sz w:val="28"/>
          <w:szCs w:val="28"/>
        </w:rPr>
        <w:t>Rome, June 2014</w:t>
      </w:r>
    </w:p>
    <w:p>
      <w:pPr>
        <w:pStyle w:val="style0"/>
      </w:pPr>
      <w:bookmarkStart w:id="0" w:name="_GoBack"/>
      <w:bookmarkStart w:id="1" w:name="_GoBack"/>
      <w:bookmarkEnd w:id="1"/>
      <w:r>
        <w:rPr>
          <w:rFonts w:ascii="Times New Roman" w:cs="Times New Roman" w:hAnsi="Times New Roman"/>
          <w:color w:val="000000"/>
          <w:sz w:val="28"/>
          <w:szCs w:val="28"/>
        </w:rPr>
      </w:r>
    </w:p>
    <w:p>
      <w:pPr>
        <w:pStyle w:val="style0"/>
      </w:pPr>
      <w:r>
        <w:rPr>
          <w:rFonts w:ascii="Times New Roman" w:cs="Times New Roman" w:hAnsi="Times New Roman"/>
          <w:color w:val="000000"/>
          <w:sz w:val="28"/>
          <w:szCs w:val="28"/>
        </w:rPr>
      </w:r>
    </w:p>
    <w:p>
      <w:pPr>
        <w:pStyle w:val="style0"/>
      </w:pPr>
      <w:r>
        <w:rPr>
          <w:rFonts w:ascii="Times New Roman" w:cs="Times New Roman" w:hAnsi="Times New Roman"/>
          <w:color w:val="000000"/>
          <w:sz w:val="28"/>
          <w:szCs w:val="28"/>
        </w:rPr>
      </w:r>
    </w:p>
    <w:p>
      <w:pPr>
        <w:pStyle w:val="style0"/>
      </w:pPr>
      <w:r>
        <w:rPr>
          <w:rFonts w:ascii="Times New Roman" w:cs="Times New Roman" w:hAnsi="Times New Roman"/>
          <w:color w:val="000000"/>
          <w:sz w:val="28"/>
          <w:szCs w:val="28"/>
        </w:rPr>
        <w:t xml:space="preserve"> </w:t>
      </w:r>
    </w:p>
    <w:p>
      <w:pPr>
        <w:pStyle w:val="style37"/>
        <w:pageBreakBefore/>
        <w:widowControl w:val="false"/>
        <w:numPr>
          <w:ilvl w:val="0"/>
          <w:numId w:val="5"/>
        </w:numPr>
        <w:tabs>
          <w:tab w:leader="none" w:pos="1280" w:val="left"/>
          <w:tab w:leader="none" w:pos="1840" w:val="left"/>
          <w:tab w:leader="none" w:pos="2400" w:val="left"/>
          <w:tab w:leader="none" w:pos="2960" w:val="left"/>
          <w:tab w:leader="none" w:pos="3520" w:val="left"/>
          <w:tab w:leader="none" w:pos="4080" w:val="left"/>
          <w:tab w:leader="none" w:pos="4640" w:val="left"/>
          <w:tab w:leader="none" w:pos="5200" w:val="left"/>
          <w:tab w:leader="none" w:pos="5760" w:val="left"/>
          <w:tab w:leader="none" w:pos="6320" w:val="left"/>
          <w:tab w:leader="none" w:pos="6880" w:val="left"/>
          <w:tab w:leader="none" w:pos="7440" w:val="left"/>
        </w:tabs>
      </w:pPr>
      <w:r>
        <w:rPr>
          <w:rFonts w:ascii="Calibri" w:cs="" w:hAnsi="Calibri"/>
          <w:b/>
          <w:bCs/>
          <w:color w:val="345A8A"/>
          <w:sz w:val="40"/>
          <w:szCs w:val="40"/>
        </w:rPr>
        <w:t xml:space="preserve">Space </w:t>
      </w:r>
      <w:r>
        <w:rPr>
          <w:rFonts w:ascii="Calibri" w:cs="" w:hAnsi="Calibri"/>
          <w:b/>
          <w:bCs/>
          <w:color w:val="365F91"/>
          <w:sz w:val="40"/>
          <w:szCs w:val="40"/>
        </w:rPr>
        <w:t>Facilities</w:t>
      </w:r>
    </w:p>
    <w:p>
      <w:pPr>
        <w:pStyle w:val="style1"/>
      </w:pPr>
      <w:r>
        <w:rPr/>
        <w:t xml:space="preserve">Space facility  1 :  </w:t>
      </w:r>
      <w:r>
        <w:rPr>
          <w:u w:val="single"/>
        </w:rPr>
        <w:t>INTEGRAL</w:t>
      </w:r>
    </w:p>
    <w:p>
      <w:pPr>
        <w:pStyle w:val="style0"/>
      </w:pPr>
      <w:r>
        <w:rPr>
          <w:rFonts w:ascii="Times New Roman" w:cs="Times New Roman" w:hAnsi="Times New Roman"/>
        </w:rPr>
      </w:r>
    </w:p>
    <w:p>
      <w:pPr>
        <w:pStyle w:val="style0"/>
      </w:pPr>
      <w:r>
        <w:rPr>
          <w:rFonts w:ascii="Verdana" w:cs="Verdana" w:hAnsi="Verdana"/>
          <w:b/>
          <w:bCs/>
          <w:i/>
          <w:color w:val="091725"/>
        </w:rPr>
        <w:t>INTE</w:t>
      </w:r>
      <w:r>
        <w:rPr>
          <w:rFonts w:ascii="Verdana" w:cs="Verdana" w:hAnsi="Verdana"/>
          <w:i/>
          <w:color w:val="091725"/>
        </w:rPr>
        <w:t xml:space="preserve">rnational </w:t>
      </w:r>
      <w:r>
        <w:rPr>
          <w:rFonts w:ascii="Verdana" w:cs="Verdana" w:hAnsi="Verdana"/>
          <w:b/>
          <w:bCs/>
          <w:i/>
          <w:color w:val="091725"/>
        </w:rPr>
        <w:t>G</w:t>
      </w:r>
      <w:r>
        <w:rPr>
          <w:rFonts w:ascii="Verdana" w:cs="Verdana" w:hAnsi="Verdana"/>
          <w:i/>
          <w:color w:val="091725"/>
        </w:rPr>
        <w:t>amma-</w:t>
      </w:r>
      <w:r>
        <w:rPr>
          <w:rFonts w:ascii="Verdana" w:cs="Verdana" w:hAnsi="Verdana"/>
          <w:b/>
          <w:bCs/>
          <w:i/>
          <w:color w:val="091725"/>
        </w:rPr>
        <w:t>R</w:t>
      </w:r>
      <w:r>
        <w:rPr>
          <w:rFonts w:ascii="Verdana" w:cs="Verdana" w:hAnsi="Verdana"/>
          <w:i/>
          <w:color w:val="091725"/>
        </w:rPr>
        <w:t xml:space="preserve">ay </w:t>
      </w:r>
      <w:r>
        <w:rPr>
          <w:rFonts w:ascii="Verdana" w:cs="Verdana" w:hAnsi="Verdana"/>
          <w:b/>
          <w:bCs/>
          <w:i/>
          <w:color w:val="091725"/>
        </w:rPr>
        <w:t>A</w:t>
      </w:r>
      <w:r>
        <w:rPr>
          <w:rFonts w:ascii="Verdana" w:cs="Verdana" w:hAnsi="Verdana"/>
          <w:i/>
          <w:color w:val="091725"/>
        </w:rPr>
        <w:t xml:space="preserve">strophysics </w:t>
      </w:r>
      <w:r>
        <w:rPr>
          <w:rFonts w:ascii="Verdana" w:cs="Verdana" w:hAnsi="Verdana"/>
          <w:b/>
          <w:bCs/>
          <w:i/>
          <w:color w:val="091725"/>
        </w:rPr>
        <w:t>L</w:t>
      </w:r>
      <w:r>
        <w:rPr>
          <w:rFonts w:ascii="Verdana" w:cs="Verdana" w:hAnsi="Verdana"/>
          <w:i/>
          <w:color w:val="091725"/>
        </w:rPr>
        <w:t xml:space="preserve">aboratory </w:t>
      </w:r>
    </w:p>
    <w:p>
      <w:pPr>
        <w:pStyle w:val="style0"/>
      </w:pPr>
      <w:r>
        <w:rPr>
          <w:rFonts w:ascii="Verdana" w:cs="Verdana" w:hAnsi="Verdana"/>
          <w:color w:val="091725"/>
        </w:rPr>
      </w:r>
    </w:p>
    <w:p>
      <w:pPr>
        <w:pStyle w:val="style0"/>
        <w:jc w:val="both"/>
      </w:pPr>
      <w:r>
        <w:rPr>
          <w:rFonts w:ascii="Times New Roman" w:cs="Times New Roman" w:hAnsi="Times New Roman"/>
        </w:rPr>
        <w:t>Launch: 2002</w:t>
      </w:r>
    </w:p>
    <w:p>
      <w:pPr>
        <w:pStyle w:val="style0"/>
        <w:jc w:val="both"/>
      </w:pPr>
      <w:r>
        <w:rPr>
          <w:rFonts w:ascii="Times New Roman" w:cs="Times New Roman" w:hAnsi="Times New Roman"/>
        </w:rPr>
        <w:t>The mission is dedicated to the fine spectroscopy (E/∆E = 500) and fine imaging (angular resolution: 12 arcmin FWHM) of celestial gamma-ray sources in the energy range 15 keV to 10 MeV with concurrent source monitoring in the X-ray (4-35 keV) and optical (V-band, 550 nm) energy ranges.</w:t>
      </w:r>
    </w:p>
    <w:p>
      <w:pPr>
        <w:pStyle w:val="style0"/>
        <w:jc w:val="both"/>
      </w:pPr>
      <w:r>
        <w:rPr>
          <w:rFonts w:ascii="Times New Roman" w:cs="Times New Roman" w:hAnsi="Times New Roman"/>
        </w:rPr>
        <w:t>Status: ongoing</w:t>
      </w:r>
    </w:p>
    <w:p>
      <w:pPr>
        <w:pStyle w:val="style4"/>
        <w:numPr>
          <w:ilvl w:val="3"/>
          <w:numId w:val="1"/>
        </w:numPr>
      </w:pPr>
      <w:r>
        <w:rPr>
          <w:color w:val="365F91"/>
        </w:rPr>
        <w:t>1) ACCEPTED OBSERVING PROPOSALS (2008-2013):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"INTEGRALAO" DATABASE (HEASARC-NASA)</w:t>
      </w:r>
    </w:p>
    <w:p>
      <w:pPr>
        <w:pStyle w:val="style0"/>
      </w:pPr>
      <w:r>
        <w:rPr>
          <w:rFonts w:ascii="Times New Roman" w:cs="Times New Roman" w:hAnsi="Times New Roman"/>
        </w:rPr>
        <w:tab/>
        <w:t>(http://heasarc.gsfc.nasa.gov/W3Browse/all/integralao.html)</w:t>
      </w:r>
    </w:p>
    <w:p>
      <w:pPr>
        <w:pStyle w:val="style0"/>
      </w:pPr>
      <w:r>
        <w:rPr>
          <w:rFonts w:ascii="Times New Roman" w:cs="Times New Roman" w:hAnsi="Times New Roman"/>
        </w:rPr>
      </w:r>
    </w:p>
    <w:tbl>
      <w:tblPr>
        <w:jc w:val="left"/>
        <w:tblInd w:type="dxa" w:w="-108"/>
        <w:tblBorders/>
      </w:tblPr>
      <w:tblGrid>
        <w:gridCol w:w="1389"/>
        <w:gridCol w:w="7305"/>
      </w:tblGrid>
      <w:tr>
        <w:trPr>
          <w:trHeight w:hRule="atLeast" w:val="300"/>
          <w:cantSplit w:val="false"/>
        </w:trPr>
        <w:tc>
          <w:tcPr>
            <w:tcW w:type="dxa" w:w="1389"/>
            <w:tcBorders/>
            <w:shd w:fill="auto" w:val="clear"/>
            <w:tcMar>
              <w:top w:type="dxa" w:w="0"/>
              <w:left w:type="dxa" w:w="108"/>
              <w:bottom w:type="dxa" w:w="0"/>
              <w:right w:type="dxa" w:w="108"/>
            </w:tcMar>
          </w:tcPr>
          <w:p>
            <w:pPr>
              <w:pStyle w:val="style0"/>
            </w:pPr>
            <w:r>
              <w:rPr>
                <w:rFonts w:ascii="Times New Roman" w:cs="Times New Roman" w:hAnsi="Times New Roman"/>
                <w:bCs/>
                <w:sz w:val="22"/>
                <w:szCs w:val="22"/>
              </w:rPr>
              <w:t>Categories:</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2"/>
                <w:szCs w:val="22"/>
              </w:rPr>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pPr>
            <w:r>
              <w:rPr>
                <w:rFonts w:ascii="Times New Roman" w:cs="Times New Roman" w:hAnsi="Times New Roman"/>
                <w:bCs/>
                <w:sz w:val="22"/>
                <w:szCs w:val="22"/>
              </w:rPr>
            </w:r>
          </w:p>
        </w:tc>
        <w:tc>
          <w:tcPr>
            <w:tcW w:type="dxa" w:w="7305"/>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sz w:val="22"/>
                <w:szCs w:val="22"/>
              </w:rPr>
              <w:t>Core Proposal</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pPr>
            <w:r>
              <w:rPr>
                <w:rFonts w:ascii="Times New Roman" w:cs="Times New Roman" w:hAnsi="Times New Roman"/>
                <w:bCs/>
                <w:sz w:val="22"/>
                <w:szCs w:val="22"/>
              </w:rPr>
            </w:r>
          </w:p>
        </w:tc>
        <w:tc>
          <w:tcPr>
            <w:tcW w:type="dxa" w:w="7305"/>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sz w:val="22"/>
                <w:szCs w:val="22"/>
              </w:rPr>
              <w:t>Extragalactic Astronomy</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pPr>
            <w:r>
              <w:rPr>
                <w:rFonts w:ascii="Times New Roman" w:cs="Times New Roman" w:hAnsi="Times New Roman"/>
                <w:bCs/>
                <w:sz w:val="22"/>
                <w:szCs w:val="22"/>
              </w:rPr>
            </w:r>
          </w:p>
        </w:tc>
        <w:tc>
          <w:tcPr>
            <w:tcW w:type="dxa" w:w="7305"/>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sz w:val="22"/>
                <w:szCs w:val="22"/>
              </w:rPr>
              <w:t>Galactic Astronomy</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pPr>
            <w:r>
              <w:rPr>
                <w:rFonts w:ascii="Times New Roman" w:cs="Times New Roman" w:hAnsi="Times New Roman"/>
                <w:bCs/>
                <w:sz w:val="22"/>
                <w:szCs w:val="22"/>
              </w:rPr>
            </w:r>
          </w:p>
        </w:tc>
        <w:tc>
          <w:tcPr>
            <w:tcW w:type="dxa" w:w="7305"/>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sz w:val="22"/>
                <w:szCs w:val="22"/>
              </w:rPr>
              <w:t>Nucleosynthesis and diffuse emission</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pPr>
            <w:r>
              <w:rPr>
                <w:rFonts w:ascii="Times New Roman" w:cs="Times New Roman" w:hAnsi="Times New Roman"/>
                <w:bCs/>
                <w:sz w:val="22"/>
                <w:szCs w:val="22"/>
              </w:rPr>
            </w:r>
          </w:p>
        </w:tc>
        <w:tc>
          <w:tcPr>
            <w:tcW w:type="dxa" w:w="7305"/>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sz w:val="22"/>
                <w:szCs w:val="22"/>
              </w:rPr>
              <w:t>Others</w:t>
            </w:r>
          </w:p>
        </w:tc>
      </w:tr>
    </w:tbl>
    <w:p>
      <w:pPr>
        <w:pStyle w:val="style0"/>
      </w:pPr>
      <w:r>
        <w:rPr>
          <w:rFonts w:ascii="Times New Roman" w:cs="Times New Roman" w:hAnsi="Times New Roman"/>
        </w:rPr>
      </w:r>
    </w:p>
    <w:p>
      <w:pPr>
        <w:pStyle w:val="style0"/>
      </w:pPr>
      <w:r>
        <w:rPr>
          <w:rFonts w:ascii="Times New Roman" w:cs="Times New Roman" w:hAnsi="Times New Roman"/>
        </w:rPr>
        <w:t>The following tables and figures show the data on the allocated observing time (ks).</w:t>
      </w:r>
    </w:p>
    <w:p>
      <w:pPr>
        <w:pStyle w:val="style0"/>
      </w:pPr>
      <w:r>
        <w:rPr>
          <w:rFonts w:ascii="Times New Roman" w:cs="Times New Roman" w:hAnsi="Times New Roman"/>
        </w:rPr>
      </w:r>
    </w:p>
    <w:tbl>
      <w:tblPr>
        <w:jc w:val="left"/>
        <w:tblInd w:type="dxa" w:w="-426"/>
        <w:tblBorders>
          <w:top w:color="00000A" w:space="0" w:sz="4" w:val="single"/>
          <w:left w:color="00000A" w:space="0" w:sz="4" w:val="single"/>
          <w:bottom w:color="76933C" w:space="0" w:sz="4" w:val="single"/>
        </w:tblBorders>
      </w:tblPr>
      <w:tblGrid>
        <w:gridCol w:w="2835"/>
        <w:gridCol w:w="938"/>
        <w:gridCol w:w="904"/>
        <w:gridCol w:w="973"/>
        <w:gridCol w:w="939"/>
        <w:gridCol w:w="938"/>
        <w:gridCol w:w="832"/>
        <w:gridCol w:w="1154"/>
      </w:tblGrid>
      <w:tr>
        <w:trPr>
          <w:trHeight w:hRule="atLeast" w:val="240"/>
          <w:cantSplit w:val="false"/>
        </w:trPr>
        <w:tc>
          <w:tcPr>
            <w:tcW w:type="dxa" w:w="2835"/>
            <w:gridSpan w:val="3"/>
            <w:tcBorders>
              <w:top w:color="00000A" w:space="0" w:sz="4" w:val="single"/>
              <w:left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b/>
                <w:bCs/>
                <w:sz w:val="20"/>
                <w:szCs w:val="20"/>
              </w:rPr>
              <w:t>World</w:t>
            </w:r>
          </w:p>
        </w:tc>
        <w:tc>
          <w:tcPr>
            <w:tcW w:type="dxa" w:w="938"/>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Year</w:t>
            </w:r>
          </w:p>
        </w:tc>
        <w:tc>
          <w:tcPr>
            <w:tcW w:type="dxa" w:w="904"/>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73"/>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39"/>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38"/>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832"/>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1154"/>
            <w:tcBorders>
              <w:top w:color="00000A" w:space="0" w:sz="4" w:val="single"/>
              <w:bottom w:color="76933C" w:space="0" w:sz="4" w:val="single"/>
              <w:right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r>
      <w:tr>
        <w:trPr>
          <w:trHeight w:hRule="atLeast" w:val="240"/>
          <w:cantSplit w:val="false"/>
        </w:trPr>
        <w:tc>
          <w:tcPr>
            <w:tcW w:type="dxa" w:w="1189"/>
            <w:tcBorders>
              <w:left w:color="00000A" w:space="0" w:sz="4" w:val="single"/>
              <w:bottom w:color="EBF1DE"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Category</w:t>
            </w:r>
          </w:p>
        </w:tc>
        <w:tc>
          <w:tcPr>
            <w:tcW w:type="dxa" w:w="1189"/>
            <w:tcBorders>
              <w:bottom w:color="D8E4BC" w:space="0" w:sz="4" w:val="single"/>
            </w:tcBorders>
            <w:shd w:fill="9BBB59" w:val="clear"/>
            <w:tcMar>
              <w:top w:type="dxa" w:w="0"/>
              <w:left w:type="dxa" w:w="108"/>
              <w:bottom w:type="dxa" w:w="0"/>
              <w:right w:type="dxa" w:w="108"/>
            </w:tcMar>
            <w:vAlign w:val="bottom"/>
          </w:tcPr>
          <w:p>
            <w:pPr>
              <w:pStyle w:val="style0"/>
              <w:ind w:hanging="0" w:left="-399" w:right="0"/>
              <w:jc w:val="right"/>
            </w:pPr>
            <w:r>
              <w:rPr>
                <w:rFonts w:ascii="Calibri" w:cs="Arial" w:eastAsia="Times New Roman" w:hAnsi="Calibri"/>
                <w:sz w:val="20"/>
                <w:szCs w:val="20"/>
              </w:rPr>
              <w:t xml:space="preserve">  </w:t>
            </w:r>
            <w:r>
              <w:rPr>
                <w:rFonts w:ascii="Calibri" w:cs="Arial" w:eastAsia="Times New Roman" w:hAnsi="Calibri"/>
                <w:sz w:val="20"/>
                <w:szCs w:val="20"/>
              </w:rPr>
              <w:t>2008</w:t>
            </w:r>
          </w:p>
        </w:tc>
        <w:tc>
          <w:tcPr>
            <w:tcW w:type="dxa" w:w="1189"/>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2009</w:t>
            </w:r>
          </w:p>
        </w:tc>
        <w:tc>
          <w:tcPr>
            <w:tcW w:type="dxa" w:w="1189"/>
            <w:gridSpan w:val="3"/>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2010</w:t>
            </w:r>
          </w:p>
        </w:tc>
        <w:tc>
          <w:tcPr>
            <w:tcW w:type="dxa" w:w="1190"/>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2011</w:t>
            </w:r>
          </w:p>
        </w:tc>
        <w:tc>
          <w:tcPr>
            <w:tcW w:type="dxa" w:w="1189"/>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2012</w:t>
            </w:r>
          </w:p>
        </w:tc>
        <w:tc>
          <w:tcPr>
            <w:tcW w:type="dxa" w:w="1189"/>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2013</w:t>
            </w:r>
          </w:p>
        </w:tc>
        <w:tc>
          <w:tcPr>
            <w:tcW w:type="dxa" w:w="1189"/>
            <w:gridSpan w:val="2"/>
            <w:tcBorders>
              <w:bottom w:color="EBF1DE" w:space="0" w:sz="4" w:val="single"/>
              <w:right w:color="00000A" w:space="0" w:sz="4" w:val="single"/>
            </w:tcBorders>
            <w:shd w:fill="9BBB59" w:val="clear"/>
            <w:tcMar>
              <w:top w:type="dxa" w:w="0"/>
              <w:left w:type="dxa" w:w="108"/>
              <w:bottom w:type="dxa" w:w="0"/>
              <w:right w:type="dxa" w:w="108"/>
            </w:tcMar>
            <w:vAlign w:val="bottom"/>
          </w:tcPr>
          <w:p>
            <w:pPr>
              <w:pStyle w:val="style0"/>
              <w:ind w:firstLine="48" w:left="-103" w:right="0"/>
              <w:jc w:val="center"/>
            </w:pPr>
            <w:r>
              <w:rPr>
                <w:rFonts w:ascii="Calibri" w:cs="Arial" w:eastAsia="Times New Roman" w:hAnsi="Calibri"/>
                <w:sz w:val="20"/>
                <w:szCs w:val="20"/>
              </w:rPr>
              <w:t>Tot.cat.</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Core Proposal</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4332.2</w:t>
            </w:r>
          </w:p>
        </w:tc>
        <w:tc>
          <w:tcPr>
            <w:tcW w:type="dxa" w:w="904"/>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1800.0</w:t>
            </w:r>
          </w:p>
        </w:tc>
        <w:tc>
          <w:tcPr>
            <w:tcW w:type="dxa" w:w="973"/>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939"/>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832"/>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1154"/>
            <w:tcBorders>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6132.2</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Extragalactic Astronomy</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3051.9</w:t>
            </w:r>
          </w:p>
        </w:tc>
        <w:tc>
          <w:tcPr>
            <w:tcW w:type="dxa" w:w="904"/>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4954.1</w:t>
            </w:r>
          </w:p>
        </w:tc>
        <w:tc>
          <w:tcPr>
            <w:tcW w:type="dxa" w:w="973"/>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7632.9</w:t>
            </w:r>
          </w:p>
        </w:tc>
        <w:tc>
          <w:tcPr>
            <w:tcW w:type="dxa" w:w="939"/>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5615.6</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3988.7</w:t>
            </w:r>
          </w:p>
        </w:tc>
        <w:tc>
          <w:tcPr>
            <w:tcW w:type="dxa" w:w="832"/>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1898.7</w:t>
            </w:r>
          </w:p>
        </w:tc>
        <w:tc>
          <w:tcPr>
            <w:tcW w:type="dxa" w:w="1154"/>
            <w:tcBorders>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27141.9</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Galactic Astronomy</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3592.4</w:t>
            </w:r>
          </w:p>
        </w:tc>
        <w:tc>
          <w:tcPr>
            <w:tcW w:type="dxa" w:w="904"/>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3237.7</w:t>
            </w:r>
          </w:p>
        </w:tc>
        <w:tc>
          <w:tcPr>
            <w:tcW w:type="dxa" w:w="973"/>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8535.1</w:t>
            </w:r>
          </w:p>
        </w:tc>
        <w:tc>
          <w:tcPr>
            <w:tcW w:type="dxa" w:w="939"/>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5721.3</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10040.2</w:t>
            </w:r>
          </w:p>
        </w:tc>
        <w:tc>
          <w:tcPr>
            <w:tcW w:type="dxa" w:w="832"/>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1544.3</w:t>
            </w:r>
          </w:p>
        </w:tc>
        <w:tc>
          <w:tcPr>
            <w:tcW w:type="dxa" w:w="1154"/>
            <w:tcBorders>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32671.1</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Nucleosynthesis and diffuse emission</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4383.1</w:t>
            </w:r>
          </w:p>
        </w:tc>
        <w:tc>
          <w:tcPr>
            <w:tcW w:type="dxa" w:w="904"/>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0.0</w:t>
            </w:r>
          </w:p>
        </w:tc>
        <w:tc>
          <w:tcPr>
            <w:tcW w:type="dxa" w:w="973"/>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7008.2</w:t>
            </w:r>
          </w:p>
        </w:tc>
        <w:tc>
          <w:tcPr>
            <w:tcW w:type="dxa" w:w="939"/>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8372.5</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8805.8</w:t>
            </w:r>
          </w:p>
        </w:tc>
        <w:tc>
          <w:tcPr>
            <w:tcW w:type="dxa" w:w="832"/>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3166.0</w:t>
            </w:r>
          </w:p>
        </w:tc>
        <w:tc>
          <w:tcPr>
            <w:tcW w:type="dxa" w:w="1154"/>
            <w:tcBorders>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31735.5</w:t>
            </w:r>
          </w:p>
        </w:tc>
      </w:tr>
      <w:tr>
        <w:trPr>
          <w:trHeight w:hRule="atLeast" w:val="260"/>
          <w:cantSplit w:val="false"/>
        </w:trPr>
        <w:tc>
          <w:tcPr>
            <w:tcW w:type="dxa" w:w="2835"/>
            <w:gridSpan w:val="3"/>
            <w:tcBorders>
              <w:left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Others</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9028.9</w:t>
            </w:r>
          </w:p>
        </w:tc>
        <w:tc>
          <w:tcPr>
            <w:tcW w:type="dxa" w:w="904"/>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15387.6</w:t>
            </w:r>
          </w:p>
        </w:tc>
        <w:tc>
          <w:tcPr>
            <w:tcW w:type="dxa" w:w="973"/>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7642.9</w:t>
            </w:r>
          </w:p>
        </w:tc>
        <w:tc>
          <w:tcPr>
            <w:tcW w:type="dxa" w:w="939"/>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5954.4</w:t>
            </w:r>
          </w:p>
        </w:tc>
        <w:tc>
          <w:tcPr>
            <w:tcW w:type="dxa" w:w="938"/>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r>
          </w:p>
        </w:tc>
        <w:tc>
          <w:tcPr>
            <w:tcW w:type="dxa" w:w="832"/>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r>
          </w:p>
        </w:tc>
        <w:tc>
          <w:tcPr>
            <w:tcW w:type="dxa" w:w="1154"/>
            <w:tcBorders>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38013.9</w:t>
            </w:r>
          </w:p>
        </w:tc>
      </w:tr>
      <w:tr>
        <w:trPr>
          <w:trHeight w:hRule="atLeast" w:val="260"/>
          <w:cantSplit w:val="false"/>
        </w:trPr>
        <w:tc>
          <w:tcPr>
            <w:tcW w:type="dxa" w:w="2835"/>
            <w:gridSpan w:val="3"/>
            <w:tcBorders>
              <w:top w:color="76933C" w:space="0" w:sz="17" w:val="double"/>
              <w:left w:color="00000A" w:space="0" w:sz="4" w:val="single"/>
              <w:bottom w:color="00000A" w:space="0" w:sz="4" w:val="single"/>
            </w:tcBorders>
            <w:shd w:fill="BFBFBF" w:val="clear"/>
            <w:tcMar>
              <w:top w:type="dxa" w:w="0"/>
              <w:left w:type="dxa" w:w="108"/>
              <w:bottom w:type="dxa" w:w="0"/>
              <w:right w:type="dxa" w:w="108"/>
            </w:tcMar>
            <w:vAlign w:val="bottom"/>
          </w:tcPr>
          <w:p>
            <w:pPr>
              <w:pStyle w:val="style0"/>
            </w:pPr>
            <w:r>
              <w:rPr>
                <w:rFonts w:ascii="Calibri" w:cs="Arial" w:eastAsia="Times New Roman" w:hAnsi="Calibri"/>
                <w:b/>
                <w:bCs/>
                <w:color w:val="000000"/>
                <w:sz w:val="20"/>
                <w:szCs w:val="20"/>
              </w:rPr>
              <w:t>Grand total</w:t>
            </w:r>
          </w:p>
        </w:tc>
        <w:tc>
          <w:tcPr>
            <w:tcW w:type="dxa" w:w="938"/>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24388.4</w:t>
            </w:r>
          </w:p>
        </w:tc>
        <w:tc>
          <w:tcPr>
            <w:tcW w:type="dxa" w:w="904"/>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25379.4</w:t>
            </w:r>
          </w:p>
        </w:tc>
        <w:tc>
          <w:tcPr>
            <w:tcW w:type="dxa" w:w="973"/>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30819.1</w:t>
            </w:r>
          </w:p>
        </w:tc>
        <w:tc>
          <w:tcPr>
            <w:tcW w:type="dxa" w:w="939"/>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25663.9</w:t>
            </w:r>
          </w:p>
        </w:tc>
        <w:tc>
          <w:tcPr>
            <w:tcW w:type="dxa" w:w="938"/>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22834.7</w:t>
            </w:r>
          </w:p>
        </w:tc>
        <w:tc>
          <w:tcPr>
            <w:tcW w:type="dxa" w:w="832"/>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6609.1</w:t>
            </w:r>
          </w:p>
        </w:tc>
        <w:tc>
          <w:tcPr>
            <w:tcW w:type="dxa" w:w="1154"/>
            <w:tcBorders>
              <w:top w:color="76933C" w:space="0" w:sz="17" w:val="double"/>
              <w:bottom w:color="00000A" w:space="0" w:sz="4" w:val="single"/>
              <w:right w:color="00000A" w:space="0" w:sz="4" w:val="single"/>
            </w:tcBorders>
            <w:shd w:fill="BFBFBF" w:val="clear"/>
            <w:tcMar>
              <w:top w:type="dxa" w:w="0"/>
              <w:left w:type="dxa" w:w="108"/>
              <w:bottom w:type="dxa" w:w="0"/>
              <w:right w:type="dxa" w:w="108"/>
            </w:tcMar>
            <w:vAlign w:val="bottom"/>
          </w:tcPr>
          <w:p>
            <w:pPr>
              <w:pStyle w:val="style0"/>
              <w:jc w:val="center"/>
            </w:pPr>
            <w:r>
              <w:rPr>
                <w:rFonts w:ascii="Calibri" w:cs="Arial" w:eastAsia="Times New Roman" w:hAnsi="Calibri"/>
                <w:b/>
                <w:bCs/>
                <w:color w:val="000000"/>
                <w:sz w:val="20"/>
                <w:szCs w:val="20"/>
              </w:rPr>
              <w:t>135694.5</w:t>
            </w:r>
          </w:p>
        </w:tc>
      </w:tr>
      <w:tr>
        <w:trPr>
          <w:trHeight w:hRule="atLeast" w:val="240"/>
          <w:cantSplit w:val="false"/>
        </w:trPr>
        <w:tc>
          <w:tcPr>
            <w:tcW w:type="dxa" w:w="2835"/>
            <w:gridSpan w:val="3"/>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8"/>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04"/>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73"/>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9"/>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8"/>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832"/>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1154"/>
            <w:tcBorders>
              <w:bottom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r>
          </w:p>
        </w:tc>
      </w:tr>
      <w:tr>
        <w:trPr>
          <w:trHeight w:hRule="atLeast" w:val="240"/>
          <w:cantSplit w:val="false"/>
        </w:trPr>
        <w:tc>
          <w:tcPr>
            <w:tcW w:type="dxa" w:w="2835"/>
            <w:gridSpan w:val="3"/>
            <w:tcBorders>
              <w:top w:color="00000A" w:space="0" w:sz="4" w:val="single"/>
              <w:left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b/>
                <w:bCs/>
                <w:sz w:val="20"/>
                <w:szCs w:val="20"/>
              </w:rPr>
              <w:t>Italy</w:t>
            </w:r>
          </w:p>
        </w:tc>
        <w:tc>
          <w:tcPr>
            <w:tcW w:type="dxa" w:w="938"/>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Year</w:t>
            </w:r>
          </w:p>
        </w:tc>
        <w:tc>
          <w:tcPr>
            <w:tcW w:type="dxa" w:w="904"/>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73"/>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39"/>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38"/>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832"/>
            <w:gridSpan w:val="2"/>
            <w:tcBorders>
              <w:top w:color="00000A" w:space="0" w:sz="4" w:val="single"/>
              <w:bottom w:color="76933C"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1154"/>
            <w:tcBorders>
              <w:top w:color="00000A" w:space="0" w:sz="4" w:val="single"/>
              <w:bottom w:color="76933C" w:space="0" w:sz="4" w:val="single"/>
              <w:right w:color="00000A" w:space="0" w:sz="4" w:val="single"/>
            </w:tcBorders>
            <w:shd w:fill="9BBB59"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r>
          </w:p>
        </w:tc>
      </w:tr>
      <w:tr>
        <w:trPr>
          <w:trHeight w:hRule="atLeast" w:val="240"/>
          <w:cantSplit w:val="false"/>
        </w:trPr>
        <w:tc>
          <w:tcPr>
            <w:tcW w:type="dxa" w:w="2835"/>
            <w:gridSpan w:val="3"/>
            <w:tcBorders>
              <w:left w:color="00000A" w:space="0" w:sz="4" w:val="single"/>
              <w:bottom w:color="EBF1DE"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Category</w:t>
            </w:r>
          </w:p>
        </w:tc>
        <w:tc>
          <w:tcPr>
            <w:tcW w:type="dxa" w:w="938"/>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2008</w:t>
            </w:r>
          </w:p>
        </w:tc>
        <w:tc>
          <w:tcPr>
            <w:tcW w:type="dxa" w:w="904"/>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2009</w:t>
            </w:r>
          </w:p>
        </w:tc>
        <w:tc>
          <w:tcPr>
            <w:tcW w:type="dxa" w:w="973"/>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2010</w:t>
            </w:r>
          </w:p>
        </w:tc>
        <w:tc>
          <w:tcPr>
            <w:tcW w:type="dxa" w:w="939"/>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2011</w:t>
            </w:r>
          </w:p>
        </w:tc>
        <w:tc>
          <w:tcPr>
            <w:tcW w:type="dxa" w:w="938"/>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2012</w:t>
            </w:r>
          </w:p>
        </w:tc>
        <w:tc>
          <w:tcPr>
            <w:tcW w:type="dxa" w:w="832"/>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2013</w:t>
            </w:r>
          </w:p>
        </w:tc>
        <w:tc>
          <w:tcPr>
            <w:tcW w:type="dxa" w:w="1154"/>
            <w:tcBorders>
              <w:bottom w:color="EBF1DE" w:space="0" w:sz="4" w:val="single"/>
              <w:right w:color="00000A" w:space="0" w:sz="4" w:val="single"/>
            </w:tcBorders>
            <w:shd w:fill="9BBB59"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t>Tot. cat.</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Core Proposal</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904"/>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973"/>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939"/>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832"/>
            <w:gridSpan w:val="2"/>
            <w:tcBorders>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1154"/>
            <w:tcBorders>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0.0</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Extragalactic Astronomy</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503.3</w:t>
            </w:r>
          </w:p>
        </w:tc>
        <w:tc>
          <w:tcPr>
            <w:tcW w:type="dxa" w:w="904"/>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1700.3</w:t>
            </w:r>
          </w:p>
        </w:tc>
        <w:tc>
          <w:tcPr>
            <w:tcW w:type="dxa" w:w="973"/>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1031.1</w:t>
            </w:r>
          </w:p>
        </w:tc>
        <w:tc>
          <w:tcPr>
            <w:tcW w:type="dxa" w:w="939"/>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0.0</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0.0</w:t>
            </w:r>
          </w:p>
        </w:tc>
        <w:tc>
          <w:tcPr>
            <w:tcW w:type="dxa" w:w="832"/>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396.5</w:t>
            </w:r>
          </w:p>
        </w:tc>
        <w:tc>
          <w:tcPr>
            <w:tcW w:type="dxa" w:w="1154"/>
            <w:tcBorders>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3631.2</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Galactic Astronomy</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0.0</w:t>
            </w:r>
          </w:p>
        </w:tc>
        <w:tc>
          <w:tcPr>
            <w:tcW w:type="dxa" w:w="904"/>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0.0</w:t>
            </w:r>
          </w:p>
        </w:tc>
        <w:tc>
          <w:tcPr>
            <w:tcW w:type="dxa" w:w="973"/>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0.0</w:t>
            </w:r>
          </w:p>
        </w:tc>
        <w:tc>
          <w:tcPr>
            <w:tcW w:type="dxa" w:w="939"/>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1827.8</w:t>
            </w:r>
          </w:p>
        </w:tc>
        <w:tc>
          <w:tcPr>
            <w:tcW w:type="dxa" w:w="938"/>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4942.9</w:t>
            </w:r>
          </w:p>
        </w:tc>
        <w:tc>
          <w:tcPr>
            <w:tcW w:type="dxa" w:w="832"/>
            <w:gridSpan w:val="2"/>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239.8</w:t>
            </w:r>
          </w:p>
        </w:tc>
        <w:tc>
          <w:tcPr>
            <w:tcW w:type="dxa" w:w="1154"/>
            <w:tcBorders>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7010.5</w:t>
            </w:r>
          </w:p>
        </w:tc>
      </w:tr>
      <w:tr>
        <w:trPr>
          <w:trHeight w:hRule="atLeast" w:val="240"/>
          <w:cantSplit w:val="false"/>
        </w:trPr>
        <w:tc>
          <w:tcPr>
            <w:tcW w:type="dxa" w:w="3774"/>
            <w:gridSpan w:val="5"/>
            <w:tcBorders>
              <w:left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xml:space="preserve">Nucleosynthesis and diffuse </w:t>
            </w:r>
          </w:p>
          <w:p>
            <w:pPr>
              <w:pStyle w:val="style0"/>
            </w:pPr>
            <w:r>
              <w:rPr>
                <w:rFonts w:ascii="Calibri" w:cs="Arial" w:eastAsia="Times New Roman" w:hAnsi="Calibri"/>
                <w:color w:val="000000"/>
                <w:sz w:val="20"/>
                <w:szCs w:val="20"/>
              </w:rPr>
              <w:t>emission</w:t>
            </w:r>
          </w:p>
        </w:tc>
        <w:tc>
          <w:tcPr>
            <w:tcW w:type="dxa" w:w="904"/>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r>
          </w:p>
        </w:tc>
        <w:tc>
          <w:tcPr>
            <w:tcW w:type="dxa" w:w="973"/>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r>
          </w:p>
        </w:tc>
        <w:tc>
          <w:tcPr>
            <w:tcW w:type="dxa" w:w="939"/>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r>
          </w:p>
        </w:tc>
        <w:tc>
          <w:tcPr>
            <w:tcW w:type="dxa" w:w="938"/>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r>
          </w:p>
        </w:tc>
        <w:tc>
          <w:tcPr>
            <w:tcW w:type="dxa" w:w="832"/>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r>
          </w:p>
        </w:tc>
        <w:tc>
          <w:tcPr>
            <w:tcW w:type="dxa" w:w="1153"/>
            <w:tcBorders>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0.0</w:t>
            </w:r>
          </w:p>
        </w:tc>
      </w:tr>
      <w:tr>
        <w:trPr>
          <w:trHeight w:hRule="atLeast" w:val="260"/>
          <w:cantSplit w:val="false"/>
        </w:trPr>
        <w:tc>
          <w:tcPr>
            <w:tcW w:type="dxa" w:w="2835"/>
            <w:gridSpan w:val="3"/>
            <w:tcBorders>
              <w:top w:color="EBF1DE" w:space="0" w:sz="4" w:val="single"/>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Others</w:t>
            </w:r>
          </w:p>
        </w:tc>
        <w:tc>
          <w:tcPr>
            <w:tcW w:type="dxa" w:w="938"/>
            <w:gridSpan w:val="2"/>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0.0</w:t>
            </w:r>
          </w:p>
        </w:tc>
        <w:tc>
          <w:tcPr>
            <w:tcW w:type="dxa" w:w="904"/>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2000.4</w:t>
            </w:r>
          </w:p>
        </w:tc>
        <w:tc>
          <w:tcPr>
            <w:tcW w:type="dxa" w:w="973"/>
            <w:gridSpan w:val="2"/>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color w:val="000000"/>
                <w:sz w:val="20"/>
                <w:szCs w:val="20"/>
              </w:rPr>
              <w:t>1590.0</w:t>
            </w:r>
          </w:p>
        </w:tc>
        <w:tc>
          <w:tcPr>
            <w:tcW w:type="dxa" w:w="939"/>
            <w:gridSpan w:val="2"/>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938"/>
            <w:gridSpan w:val="2"/>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832"/>
            <w:gridSpan w:val="2"/>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 </w:t>
            </w:r>
          </w:p>
        </w:tc>
        <w:tc>
          <w:tcPr>
            <w:tcW w:type="dxa" w:w="1154"/>
            <w:tcBorders>
              <w:top w:color="EBF1DE" w:space="0" w:sz="4" w:val="single"/>
              <w:bottom w:color="EBF1DE" w:space="0" w:sz="4" w:val="single"/>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color w:val="000000"/>
                <w:sz w:val="20"/>
                <w:szCs w:val="20"/>
              </w:rPr>
              <w:t>3590.4</w:t>
            </w:r>
          </w:p>
        </w:tc>
      </w:tr>
      <w:tr>
        <w:trPr>
          <w:trHeight w:hRule="atLeast" w:val="260"/>
          <w:cantSplit w:val="false"/>
        </w:trPr>
        <w:tc>
          <w:tcPr>
            <w:tcW w:type="dxa" w:w="2835"/>
            <w:gridSpan w:val="3"/>
            <w:tcBorders>
              <w:top w:color="76933C" w:space="0" w:sz="17" w:val="double"/>
              <w:left w:color="00000A" w:space="0" w:sz="4" w:val="single"/>
              <w:bottom w:color="00000A" w:space="0" w:sz="4" w:val="single"/>
            </w:tcBorders>
            <w:shd w:fill="BFBFBF" w:val="clear"/>
            <w:tcMar>
              <w:top w:type="dxa" w:w="0"/>
              <w:left w:type="dxa" w:w="108"/>
              <w:bottom w:type="dxa" w:w="0"/>
              <w:right w:type="dxa" w:w="108"/>
            </w:tcMar>
            <w:vAlign w:val="bottom"/>
          </w:tcPr>
          <w:p>
            <w:pPr>
              <w:pStyle w:val="style0"/>
            </w:pPr>
            <w:r>
              <w:rPr>
                <w:rFonts w:ascii="Calibri" w:cs="Arial" w:eastAsia="Times New Roman" w:hAnsi="Calibri"/>
                <w:b/>
                <w:bCs/>
                <w:color w:val="000000"/>
                <w:sz w:val="20"/>
                <w:szCs w:val="20"/>
              </w:rPr>
              <w:t>Grand total</w:t>
            </w:r>
          </w:p>
        </w:tc>
        <w:tc>
          <w:tcPr>
            <w:tcW w:type="dxa" w:w="938"/>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503.3</w:t>
            </w:r>
          </w:p>
        </w:tc>
        <w:tc>
          <w:tcPr>
            <w:tcW w:type="dxa" w:w="904"/>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3700.7</w:t>
            </w:r>
          </w:p>
        </w:tc>
        <w:tc>
          <w:tcPr>
            <w:tcW w:type="dxa" w:w="973"/>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2621.1</w:t>
            </w:r>
          </w:p>
        </w:tc>
        <w:tc>
          <w:tcPr>
            <w:tcW w:type="dxa" w:w="939"/>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1827.8</w:t>
            </w:r>
          </w:p>
        </w:tc>
        <w:tc>
          <w:tcPr>
            <w:tcW w:type="dxa" w:w="938"/>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4942.9</w:t>
            </w:r>
          </w:p>
        </w:tc>
        <w:tc>
          <w:tcPr>
            <w:tcW w:type="dxa" w:w="832"/>
            <w:gridSpan w:val="2"/>
            <w:tcBorders>
              <w:top w:color="76933C" w:space="0" w:sz="17" w:val="double"/>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color w:val="000000"/>
                <w:sz w:val="20"/>
                <w:szCs w:val="20"/>
              </w:rPr>
              <w:t>636.3</w:t>
            </w:r>
          </w:p>
        </w:tc>
        <w:tc>
          <w:tcPr>
            <w:tcW w:type="dxa" w:w="1154"/>
            <w:tcBorders>
              <w:top w:color="76933C" w:space="0" w:sz="17" w:val="double"/>
              <w:bottom w:color="00000A" w:space="0" w:sz="4" w:val="single"/>
              <w:right w:color="00000A" w:space="0" w:sz="4" w:val="single"/>
            </w:tcBorders>
            <w:shd w:fill="BFBFBF" w:val="clear"/>
            <w:tcMar>
              <w:top w:type="dxa" w:w="0"/>
              <w:left w:type="dxa" w:w="108"/>
              <w:bottom w:type="dxa" w:w="0"/>
              <w:right w:type="dxa" w:w="108"/>
            </w:tcMar>
            <w:vAlign w:val="bottom"/>
          </w:tcPr>
          <w:p>
            <w:pPr>
              <w:pStyle w:val="style0"/>
              <w:jc w:val="center"/>
            </w:pPr>
            <w:r>
              <w:rPr>
                <w:rFonts w:ascii="Calibri" w:cs="Arial" w:eastAsia="Times New Roman" w:hAnsi="Calibri"/>
                <w:b/>
                <w:bCs/>
                <w:color w:val="000000"/>
                <w:sz w:val="20"/>
                <w:szCs w:val="20"/>
              </w:rPr>
              <w:t>14232.1</w:t>
            </w:r>
          </w:p>
        </w:tc>
      </w:tr>
      <w:tr>
        <w:trPr>
          <w:trHeight w:hRule="atLeast" w:val="240"/>
          <w:cantSplit w:val="false"/>
        </w:trPr>
        <w:tc>
          <w:tcPr>
            <w:tcW w:type="dxa" w:w="2835"/>
            <w:gridSpan w:val="3"/>
            <w:tcBorders>
              <w:top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8"/>
            <w:gridSpan w:val="2"/>
            <w:tcBorders>
              <w:top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04"/>
            <w:tcBorders>
              <w:top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73"/>
            <w:gridSpan w:val="2"/>
            <w:tcBorders>
              <w:top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9"/>
            <w:gridSpan w:val="2"/>
            <w:tcBorders>
              <w:top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8"/>
            <w:gridSpan w:val="2"/>
            <w:tcBorders>
              <w:top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832"/>
            <w:gridSpan w:val="2"/>
            <w:tcBorders>
              <w:top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1154"/>
            <w:tcBorders>
              <w:top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r>
          </w:p>
        </w:tc>
      </w:tr>
      <w:tr>
        <w:trPr>
          <w:trHeight w:hRule="atLeast" w:val="240"/>
          <w:cantSplit w:val="false"/>
        </w:trPr>
        <w:tc>
          <w:tcPr>
            <w:tcW w:type="dxa" w:w="2835"/>
            <w:gridSpan w:val="3"/>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p>
            <w:pPr>
              <w:pStyle w:val="style0"/>
            </w:pPr>
            <w:r>
              <w:rPr>
                <w:rFonts w:ascii="Calibri" w:cs="Arial" w:eastAsia="Times New Roman" w:hAnsi="Calibri"/>
                <w:sz w:val="20"/>
                <w:szCs w:val="20"/>
              </w:rPr>
            </w:r>
          </w:p>
          <w:p>
            <w:pPr>
              <w:pStyle w:val="style0"/>
            </w:pPr>
            <w:r>
              <w:rPr>
                <w:rFonts w:ascii="Calibri" w:cs="Arial" w:eastAsia="Times New Roman" w:hAnsi="Calibri"/>
                <w:sz w:val="20"/>
                <w:szCs w:val="20"/>
              </w:rPr>
            </w:r>
          </w:p>
        </w:tc>
        <w:tc>
          <w:tcPr>
            <w:tcW w:type="dxa" w:w="938"/>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04"/>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73"/>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9"/>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8"/>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832"/>
            <w:gridSpan w:val="2"/>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1154"/>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r>
          </w:p>
        </w:tc>
      </w:tr>
      <w:tr>
        <w:trPr>
          <w:trHeight w:hRule="atLeast" w:val="240"/>
          <w:cantSplit w:val="false"/>
        </w:trPr>
        <w:tc>
          <w:tcPr>
            <w:tcW w:type="dxa" w:w="2835"/>
            <w:gridSpan w:val="3"/>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8"/>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04"/>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73"/>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9"/>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938"/>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832"/>
            <w:gridSpan w:val="2"/>
            <w:tcBorders>
              <w:bottom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sz w:val="20"/>
                <w:szCs w:val="20"/>
              </w:rPr>
            </w:r>
          </w:p>
        </w:tc>
        <w:tc>
          <w:tcPr>
            <w:tcW w:type="dxa" w:w="1154"/>
            <w:tcBorders>
              <w:bottom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r>
          </w:p>
        </w:tc>
      </w:tr>
      <w:tr>
        <w:trPr>
          <w:trHeight w:hRule="atLeast" w:val="240"/>
          <w:cantSplit w:val="false"/>
        </w:trPr>
        <w:tc>
          <w:tcPr>
            <w:tcW w:type="dxa" w:w="2835"/>
            <w:gridSpan w:val="3"/>
            <w:tcBorders>
              <w:top w:color="00000A" w:space="0" w:sz="4" w:val="single"/>
              <w:left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b/>
                <w:bCs/>
                <w:sz w:val="20"/>
                <w:szCs w:val="20"/>
              </w:rPr>
              <w:t>Italy vs. World</w:t>
            </w:r>
          </w:p>
        </w:tc>
        <w:tc>
          <w:tcPr>
            <w:tcW w:type="dxa" w:w="938"/>
            <w:gridSpan w:val="2"/>
            <w:tcBorders>
              <w:top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04"/>
            <w:tcBorders>
              <w:top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73"/>
            <w:gridSpan w:val="2"/>
            <w:tcBorders>
              <w:top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39"/>
            <w:gridSpan w:val="2"/>
            <w:tcBorders>
              <w:top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938"/>
            <w:gridSpan w:val="2"/>
            <w:tcBorders>
              <w:top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832"/>
            <w:gridSpan w:val="2"/>
            <w:tcBorders>
              <w:top w:color="00000A"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 </w:t>
            </w:r>
          </w:p>
        </w:tc>
        <w:tc>
          <w:tcPr>
            <w:tcW w:type="dxa" w:w="1154"/>
            <w:tcBorders>
              <w:top w:color="00000A" w:space="0" w:sz="4" w:val="single"/>
              <w:right w:color="00000A" w:space="0" w:sz="4" w:val="single"/>
            </w:tcBorders>
            <w:shd w:fill="9BBB59"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r>
          </w:p>
        </w:tc>
      </w:tr>
      <w:tr>
        <w:trPr>
          <w:trHeight w:hRule="atLeast" w:val="240"/>
          <w:cantSplit w:val="false"/>
        </w:trPr>
        <w:tc>
          <w:tcPr>
            <w:tcW w:type="dxa" w:w="2835"/>
            <w:gridSpan w:val="3"/>
            <w:tcBorders>
              <w:left w:color="00000A" w:space="0" w:sz="4" w:val="single"/>
              <w:bottom w:color="EBF1DE" w:space="0" w:sz="4" w:val="single"/>
            </w:tcBorders>
            <w:shd w:fill="9BBB59" w:val="clear"/>
            <w:tcMar>
              <w:top w:type="dxa" w:w="0"/>
              <w:left w:type="dxa" w:w="108"/>
              <w:bottom w:type="dxa" w:w="0"/>
              <w:right w:type="dxa" w:w="108"/>
            </w:tcMar>
            <w:vAlign w:val="bottom"/>
          </w:tcPr>
          <w:p>
            <w:pPr>
              <w:pStyle w:val="style0"/>
            </w:pPr>
            <w:r>
              <w:rPr>
                <w:rFonts w:ascii="Calibri" w:cs="Arial" w:eastAsia="Times New Roman" w:hAnsi="Calibri"/>
                <w:sz w:val="20"/>
                <w:szCs w:val="20"/>
              </w:rPr>
              <w:t>Category</w:t>
            </w:r>
          </w:p>
        </w:tc>
        <w:tc>
          <w:tcPr>
            <w:tcW w:type="dxa" w:w="938"/>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2008</w:t>
            </w:r>
          </w:p>
        </w:tc>
        <w:tc>
          <w:tcPr>
            <w:tcW w:type="dxa" w:w="904"/>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2009</w:t>
            </w:r>
          </w:p>
        </w:tc>
        <w:tc>
          <w:tcPr>
            <w:tcW w:type="dxa" w:w="973"/>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2010</w:t>
            </w:r>
          </w:p>
        </w:tc>
        <w:tc>
          <w:tcPr>
            <w:tcW w:type="dxa" w:w="939"/>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2011</w:t>
            </w:r>
          </w:p>
        </w:tc>
        <w:tc>
          <w:tcPr>
            <w:tcW w:type="dxa" w:w="938"/>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2012</w:t>
            </w:r>
          </w:p>
        </w:tc>
        <w:tc>
          <w:tcPr>
            <w:tcW w:type="dxa" w:w="832"/>
            <w:gridSpan w:val="2"/>
            <w:tcBorders>
              <w:bottom w:color="D8E4BC" w:space="0" w:sz="4" w:val="single"/>
            </w:tcBorders>
            <w:shd w:fill="9BBB59"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2013</w:t>
            </w:r>
          </w:p>
        </w:tc>
        <w:tc>
          <w:tcPr>
            <w:tcW w:type="dxa" w:w="1154"/>
            <w:tcBorders>
              <w:right w:color="00000A" w:space="0" w:sz="4" w:val="single"/>
            </w:tcBorders>
            <w:shd w:fill="9BBB59"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t>Italian tot. observed cat.</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Core Proposal</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04"/>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73"/>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39"/>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832"/>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1154"/>
            <w:tcBorders>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t>0.0%</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Extragalactic Astronomy</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16%</w:t>
            </w:r>
          </w:p>
        </w:tc>
        <w:tc>
          <w:tcPr>
            <w:tcW w:type="dxa" w:w="904"/>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34%</w:t>
            </w:r>
          </w:p>
        </w:tc>
        <w:tc>
          <w:tcPr>
            <w:tcW w:type="dxa" w:w="973"/>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14%</w:t>
            </w:r>
          </w:p>
        </w:tc>
        <w:tc>
          <w:tcPr>
            <w:tcW w:type="dxa" w:w="939"/>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832"/>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21%</w:t>
            </w:r>
          </w:p>
        </w:tc>
        <w:tc>
          <w:tcPr>
            <w:tcW w:type="dxa" w:w="1154"/>
            <w:tcBorders>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t>13.4%</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Galactic Astronomy</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04"/>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73"/>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39"/>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32%</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49%</w:t>
            </w:r>
          </w:p>
        </w:tc>
        <w:tc>
          <w:tcPr>
            <w:tcW w:type="dxa" w:w="832"/>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16%</w:t>
            </w:r>
          </w:p>
        </w:tc>
        <w:tc>
          <w:tcPr>
            <w:tcW w:type="dxa" w:w="1154"/>
            <w:tcBorders>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t>21.5%</w:t>
            </w:r>
          </w:p>
        </w:tc>
      </w:tr>
      <w:tr>
        <w:trPr>
          <w:trHeight w:hRule="atLeast" w:val="240"/>
          <w:cantSplit w:val="false"/>
        </w:trPr>
        <w:tc>
          <w:tcPr>
            <w:tcW w:type="dxa" w:w="2835"/>
            <w:gridSpan w:val="3"/>
            <w:tcBorders>
              <w:left w:color="00000A"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Nucleosynthesis and diffuse emission</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04"/>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73"/>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39"/>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832"/>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1154"/>
            <w:tcBorders>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t>0.0%</w:t>
            </w:r>
          </w:p>
        </w:tc>
      </w:tr>
      <w:tr>
        <w:trPr>
          <w:trHeight w:hRule="atLeast" w:val="240"/>
          <w:cantSplit w:val="false"/>
        </w:trPr>
        <w:tc>
          <w:tcPr>
            <w:tcW w:type="dxa" w:w="2835"/>
            <w:gridSpan w:val="3"/>
            <w:tcBorders>
              <w:left w:color="00000A" w:space="0" w:sz="4" w:val="single"/>
            </w:tcBorders>
            <w:shd w:fill="FFFFFF" w:val="clear"/>
            <w:tcMar>
              <w:top w:type="dxa" w:w="0"/>
              <w:left w:type="dxa" w:w="108"/>
              <w:bottom w:type="dxa" w:w="0"/>
              <w:right w:type="dxa" w:w="108"/>
            </w:tcMar>
            <w:vAlign w:val="bottom"/>
          </w:tcPr>
          <w:p>
            <w:pPr>
              <w:pStyle w:val="style0"/>
            </w:pPr>
            <w:r>
              <w:rPr>
                <w:rFonts w:ascii="Calibri" w:cs="Arial" w:eastAsia="Times New Roman" w:hAnsi="Calibri"/>
                <w:color w:val="000000"/>
                <w:sz w:val="20"/>
                <w:szCs w:val="20"/>
              </w:rPr>
              <w:t>Others</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04"/>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13%</w:t>
            </w:r>
          </w:p>
        </w:tc>
        <w:tc>
          <w:tcPr>
            <w:tcW w:type="dxa" w:w="973"/>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21%</w:t>
            </w:r>
          </w:p>
        </w:tc>
        <w:tc>
          <w:tcPr>
            <w:tcW w:type="dxa" w:w="939"/>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938"/>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832"/>
            <w:gridSpan w:val="2"/>
            <w:tcBorders/>
            <w:shd w:fill="FFFFFF" w:val="clear"/>
            <w:tcMar>
              <w:top w:type="dxa" w:w="0"/>
              <w:left w:type="dxa" w:w="108"/>
              <w:bottom w:type="dxa" w:w="0"/>
              <w:right w:type="dxa" w:w="108"/>
            </w:tcMar>
            <w:vAlign w:val="bottom"/>
          </w:tcPr>
          <w:p>
            <w:pPr>
              <w:pStyle w:val="style0"/>
              <w:jc w:val="right"/>
            </w:pPr>
            <w:r>
              <w:rPr>
                <w:rFonts w:ascii="Calibri" w:cs="Arial" w:eastAsia="Times New Roman" w:hAnsi="Calibri"/>
                <w:sz w:val="20"/>
                <w:szCs w:val="20"/>
              </w:rPr>
              <w:t>0%</w:t>
            </w:r>
          </w:p>
        </w:tc>
        <w:tc>
          <w:tcPr>
            <w:tcW w:type="dxa" w:w="1154"/>
            <w:tcBorders>
              <w:right w:color="00000A" w:space="0" w:sz="4" w:val="single"/>
            </w:tcBorders>
            <w:shd w:fill="FFFFFF" w:val="clear"/>
            <w:tcMar>
              <w:top w:type="dxa" w:w="0"/>
              <w:left w:type="dxa" w:w="108"/>
              <w:bottom w:type="dxa" w:w="0"/>
              <w:right w:type="dxa" w:w="108"/>
            </w:tcMar>
            <w:vAlign w:val="bottom"/>
          </w:tcPr>
          <w:p>
            <w:pPr>
              <w:pStyle w:val="style0"/>
              <w:jc w:val="center"/>
            </w:pPr>
            <w:r>
              <w:rPr>
                <w:rFonts w:ascii="Calibri" w:cs="Arial" w:eastAsia="Times New Roman" w:hAnsi="Calibri"/>
                <w:sz w:val="20"/>
                <w:szCs w:val="20"/>
              </w:rPr>
              <w:t>9.4%</w:t>
            </w:r>
          </w:p>
        </w:tc>
      </w:tr>
      <w:tr>
        <w:trPr>
          <w:trHeight w:hRule="atLeast" w:val="240"/>
          <w:cantSplit w:val="false"/>
        </w:trPr>
        <w:tc>
          <w:tcPr>
            <w:tcW w:type="dxa" w:w="2835"/>
            <w:gridSpan w:val="3"/>
            <w:tcBorders>
              <w:left w:color="00000A" w:space="0" w:sz="4" w:val="single"/>
              <w:bottom w:color="00000A" w:space="0" w:sz="4" w:val="single"/>
            </w:tcBorders>
            <w:shd w:fill="BFBFBF" w:val="clear"/>
            <w:tcMar>
              <w:top w:type="dxa" w:w="0"/>
              <w:left w:type="dxa" w:w="108"/>
              <w:bottom w:type="dxa" w:w="0"/>
              <w:right w:type="dxa" w:w="108"/>
            </w:tcMar>
            <w:vAlign w:val="bottom"/>
          </w:tcPr>
          <w:p>
            <w:pPr>
              <w:pStyle w:val="style0"/>
            </w:pPr>
            <w:r>
              <w:rPr>
                <w:rFonts w:ascii="Calibri" w:cs="Arial" w:eastAsia="Times New Roman" w:hAnsi="Calibri"/>
                <w:b/>
                <w:bCs/>
                <w:color w:val="000000"/>
                <w:sz w:val="20"/>
                <w:szCs w:val="20"/>
              </w:rPr>
              <w:t>Italian year observed cat.</w:t>
            </w:r>
          </w:p>
        </w:tc>
        <w:tc>
          <w:tcPr>
            <w:tcW w:type="dxa" w:w="938"/>
            <w:gridSpan w:val="2"/>
            <w:tcBorders>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sz w:val="20"/>
                <w:szCs w:val="20"/>
              </w:rPr>
              <w:t>2.1%</w:t>
            </w:r>
          </w:p>
        </w:tc>
        <w:tc>
          <w:tcPr>
            <w:tcW w:type="dxa" w:w="904"/>
            <w:tcBorders>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sz w:val="20"/>
                <w:szCs w:val="20"/>
              </w:rPr>
              <w:t>14.6%</w:t>
            </w:r>
          </w:p>
        </w:tc>
        <w:tc>
          <w:tcPr>
            <w:tcW w:type="dxa" w:w="973"/>
            <w:gridSpan w:val="2"/>
            <w:tcBorders>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sz w:val="20"/>
                <w:szCs w:val="20"/>
              </w:rPr>
              <w:t>8.5%</w:t>
            </w:r>
          </w:p>
        </w:tc>
        <w:tc>
          <w:tcPr>
            <w:tcW w:type="dxa" w:w="939"/>
            <w:gridSpan w:val="2"/>
            <w:tcBorders>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sz w:val="20"/>
                <w:szCs w:val="20"/>
              </w:rPr>
              <w:t>7.1%</w:t>
            </w:r>
          </w:p>
        </w:tc>
        <w:tc>
          <w:tcPr>
            <w:tcW w:type="dxa" w:w="938"/>
            <w:gridSpan w:val="2"/>
            <w:tcBorders>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sz w:val="20"/>
                <w:szCs w:val="20"/>
              </w:rPr>
              <w:t>21.6%</w:t>
            </w:r>
          </w:p>
        </w:tc>
        <w:tc>
          <w:tcPr>
            <w:tcW w:type="dxa" w:w="832"/>
            <w:gridSpan w:val="2"/>
            <w:tcBorders>
              <w:bottom w:color="00000A" w:space="0" w:sz="4" w:val="single"/>
            </w:tcBorders>
            <w:shd w:fill="BFBFBF" w:val="clear"/>
            <w:tcMar>
              <w:top w:type="dxa" w:w="0"/>
              <w:left w:type="dxa" w:w="108"/>
              <w:bottom w:type="dxa" w:w="0"/>
              <w:right w:type="dxa" w:w="108"/>
            </w:tcMar>
            <w:vAlign w:val="bottom"/>
          </w:tcPr>
          <w:p>
            <w:pPr>
              <w:pStyle w:val="style0"/>
              <w:jc w:val="right"/>
            </w:pPr>
            <w:r>
              <w:rPr>
                <w:rFonts w:ascii="Calibri" w:cs="Arial" w:eastAsia="Times New Roman" w:hAnsi="Calibri"/>
                <w:b/>
                <w:bCs/>
                <w:sz w:val="20"/>
                <w:szCs w:val="20"/>
              </w:rPr>
              <w:t>9.6%</w:t>
            </w:r>
          </w:p>
        </w:tc>
        <w:tc>
          <w:tcPr>
            <w:tcW w:type="dxa" w:w="1154"/>
            <w:tcBorders>
              <w:bottom w:color="00000A" w:space="0" w:sz="4" w:val="single"/>
              <w:right w:color="00000A" w:space="0" w:sz="4" w:val="single"/>
            </w:tcBorders>
            <w:shd w:fill="BFBFBF" w:val="clear"/>
            <w:tcMar>
              <w:top w:type="dxa" w:w="0"/>
              <w:left w:type="dxa" w:w="108"/>
              <w:bottom w:type="dxa" w:w="0"/>
              <w:right w:type="dxa" w:w="108"/>
            </w:tcMar>
            <w:vAlign w:val="bottom"/>
          </w:tcPr>
          <w:p>
            <w:pPr>
              <w:pStyle w:val="style0"/>
              <w:jc w:val="center"/>
            </w:pPr>
            <w:r>
              <w:rPr>
                <w:rFonts w:ascii="Calibri" w:cs="Arial" w:eastAsia="Times New Roman" w:hAnsi="Calibri"/>
                <w:b/>
                <w:bCs/>
                <w:sz w:val="20"/>
                <w:szCs w:val="20"/>
              </w:rPr>
              <w:t>10.5%</w:t>
            </w:r>
          </w:p>
        </w:tc>
      </w:tr>
    </w:tbl>
    <w:p>
      <w:pPr>
        <w:pStyle w:val="style0"/>
      </w:pPr>
      <w:r>
        <w:rPr>
          <w:rFonts w:ascii="Calibri" w:cs="Times New Roman" w:hAnsi="Calibri"/>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371475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
                    <a:srcRect/>
                    <a:stretch>
                      <a:fillRect/>
                    </a:stretch>
                  </pic:blipFill>
                  <pic:spPr bwMode="auto">
                    <a:xfrm>
                      <a:off x="0" y="0"/>
                      <a:ext cx="5270500" cy="371475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38887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
                    <a:srcRect/>
                    <a:stretch>
                      <a:fillRect/>
                    </a:stretch>
                  </pic:blipFill>
                  <pic:spPr bwMode="auto">
                    <a:xfrm>
                      <a:off x="0" y="0"/>
                      <a:ext cx="5270500" cy="388874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350393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
                    <a:srcRect/>
                    <a:stretch>
                      <a:fillRect/>
                    </a:stretch>
                  </pic:blipFill>
                  <pic:spPr bwMode="auto">
                    <a:xfrm>
                      <a:off x="0" y="0"/>
                      <a:ext cx="5270500" cy="3503930"/>
                    </a:xfrm>
                    <a:prstGeom prst="rect">
                      <a:avLst/>
                    </a:prstGeom>
                    <a:noFill/>
                    <a:ln w="9525">
                      <a:noFill/>
                      <a:miter lim="800000"/>
                      <a:headEnd/>
                      <a:tailEnd/>
                    </a:ln>
                  </pic:spPr>
                </pic:pic>
              </a:graphicData>
            </a:graphic>
          </wp:inline>
        </w:drawing>
      </w:r>
    </w:p>
    <w:p>
      <w:pPr>
        <w:pStyle w:val="style0"/>
      </w:pPr>
      <w:r>
        <w:rPr/>
        <w:drawing>
          <wp:inline distB="0" distL="0" distR="0" distT="0">
            <wp:extent cx="5299075" cy="28575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
                    <a:srcRect/>
                    <a:stretch>
                      <a:fillRect/>
                    </a:stretch>
                  </pic:blipFill>
                  <pic:spPr bwMode="auto">
                    <a:xfrm>
                      <a:off x="0" y="0"/>
                      <a:ext cx="5299075" cy="2857500"/>
                    </a:xfrm>
                    <a:prstGeom prst="rect">
                      <a:avLst/>
                    </a:prstGeom>
                    <a:noFill/>
                    <a:ln w="9525">
                      <a:noFill/>
                      <a:miter lim="800000"/>
                      <a:headEnd/>
                      <a:tailEnd/>
                    </a:ln>
                  </pic:spPr>
                </pic:pic>
              </a:graphicData>
            </a:graphic>
          </wp:inline>
        </w:drawing>
      </w:r>
      <w:r>
        <w:rPr/>
        <w:t xml:space="preserve"> </w:t>
      </w:r>
    </w:p>
    <w:p>
      <w:pPr>
        <w:pStyle w:val="style4"/>
        <w:pageBreakBefore/>
        <w:numPr>
          <w:ilvl w:val="3"/>
          <w:numId w:val="1"/>
        </w:numPr>
      </w:pPr>
      <w:r>
        <w:rPr>
          <w:color w:val="365F91"/>
        </w:rPr>
        <w:t>2) REFEREED PAPERS (2008-2013):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SAO/NASA Astrophysics Data System (ADS)</w:t>
      </w:r>
    </w:p>
    <w:p>
      <w:pPr>
        <w:pStyle w:val="style0"/>
      </w:pPr>
      <w:r>
        <w:rPr>
          <w:rFonts w:ascii="Times New Roman" w:cs="Times New Roman" w:hAnsi="Times New Roman"/>
        </w:rPr>
        <w:tab/>
        <w:t>(query: "INTEGRAL" string in the abstract)</w:t>
      </w:r>
    </w:p>
    <w:p>
      <w:pPr>
        <w:pStyle w:val="style0"/>
      </w:pPr>
      <w:r>
        <w:rPr>
          <w:rFonts w:ascii="Times New Roman" w:cs="Times New Roman" w:hAnsi="Times New Roman"/>
        </w:rPr>
      </w:r>
    </w:p>
    <w:tbl>
      <w:tblPr>
        <w:jc w:val="left"/>
        <w:tblInd w:type="dxa" w:w="-15"/>
        <w:tblBorders/>
      </w:tblPr>
      <w:tblGrid>
        <w:gridCol w:w="2118"/>
        <w:gridCol w:w="1055"/>
        <w:gridCol w:w="810"/>
        <w:gridCol w:w="702"/>
        <w:gridCol w:w="702"/>
        <w:gridCol w:w="702"/>
        <w:gridCol w:w="703"/>
        <w:gridCol w:w="1782"/>
      </w:tblGrid>
      <w:tr>
        <w:trPr>
          <w:trHeight w:hRule="atLeast" w:val="300"/>
          <w:cantSplit w:val="false"/>
        </w:trPr>
        <w:tc>
          <w:tcPr>
            <w:tcW w:type="dxa" w:w="2118"/>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1055"/>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810"/>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3"/>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178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r>
      <w:tr>
        <w:trPr>
          <w:trHeight w:hRule="atLeast" w:val="300"/>
          <w:cantSplit w:val="false"/>
        </w:trPr>
        <w:tc>
          <w:tcPr>
            <w:tcW w:type="dxa" w:w="2118"/>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1055"/>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810"/>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703"/>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c>
          <w:tcPr>
            <w:tcW w:type="dxa" w:w="1782"/>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r>
          </w:p>
        </w:tc>
      </w:tr>
      <w:tr>
        <w:trPr>
          <w:trHeight w:hRule="atLeast" w:val="300"/>
          <w:cantSplit w:val="false"/>
        </w:trPr>
        <w:tc>
          <w:tcPr>
            <w:tcW w:type="dxa" w:w="2118"/>
            <w:tcBorders/>
            <w:shd w:fill="9BBB59" w:val="clear"/>
            <w:tcMar>
              <w:top w:type="dxa" w:w="0"/>
              <w:left w:type="dxa" w:w="108"/>
              <w:bottom w:type="dxa" w:w="0"/>
              <w:right w:type="dxa" w:w="108"/>
            </w:tcMar>
            <w:vAlign w:val="bottom"/>
          </w:tcPr>
          <w:p>
            <w:pPr>
              <w:pStyle w:val="style0"/>
            </w:pPr>
            <w:r>
              <w:rPr>
                <w:rFonts w:ascii="Calibri" w:cs="Times New Roman" w:eastAsia="Times New Roman" w:hAnsi="Calibri"/>
                <w:color w:val="000000"/>
              </w:rPr>
              <w:t> </w:t>
            </w:r>
          </w:p>
        </w:tc>
        <w:tc>
          <w:tcPr>
            <w:tcW w:type="dxa" w:w="1055"/>
            <w:tcBorders/>
            <w:shd w:fill="9BBB59"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2008</w:t>
            </w:r>
          </w:p>
        </w:tc>
        <w:tc>
          <w:tcPr>
            <w:tcW w:type="dxa" w:w="810"/>
            <w:tcBorders/>
            <w:shd w:fill="9BBB59"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2009</w:t>
            </w:r>
          </w:p>
        </w:tc>
        <w:tc>
          <w:tcPr>
            <w:tcW w:type="dxa" w:w="702"/>
            <w:tcBorders/>
            <w:shd w:fill="9BBB59"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2010</w:t>
            </w:r>
          </w:p>
        </w:tc>
        <w:tc>
          <w:tcPr>
            <w:tcW w:type="dxa" w:w="702"/>
            <w:tcBorders/>
            <w:shd w:fill="9BBB59"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2011</w:t>
            </w:r>
          </w:p>
        </w:tc>
        <w:tc>
          <w:tcPr>
            <w:tcW w:type="dxa" w:w="702"/>
            <w:tcBorders/>
            <w:shd w:fill="9BBB59"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2012</w:t>
            </w:r>
          </w:p>
        </w:tc>
        <w:tc>
          <w:tcPr>
            <w:tcW w:type="dxa" w:w="703"/>
            <w:tcBorders/>
            <w:shd w:fill="9BBB59"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2013</w:t>
            </w:r>
          </w:p>
        </w:tc>
        <w:tc>
          <w:tcPr>
            <w:tcW w:type="dxa" w:w="1782"/>
            <w:tcBorders/>
            <w:shd w:fill="9BBB59"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Grand total</w:t>
            </w:r>
          </w:p>
        </w:tc>
      </w:tr>
      <w:tr>
        <w:trPr>
          <w:trHeight w:hRule="atLeast" w:val="300"/>
          <w:cantSplit w:val="false"/>
        </w:trPr>
        <w:tc>
          <w:tcPr>
            <w:tcW w:type="dxa" w:w="2118"/>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t>World</w:t>
            </w:r>
          </w:p>
        </w:tc>
        <w:tc>
          <w:tcPr>
            <w:tcW w:type="dxa" w:w="1055"/>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115</w:t>
            </w:r>
          </w:p>
        </w:tc>
        <w:tc>
          <w:tcPr>
            <w:tcW w:type="dxa" w:w="810"/>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122</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105</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82</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73</w:t>
            </w:r>
          </w:p>
        </w:tc>
        <w:tc>
          <w:tcPr>
            <w:tcW w:type="dxa" w:w="703"/>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17</w:t>
            </w:r>
          </w:p>
        </w:tc>
        <w:tc>
          <w:tcPr>
            <w:tcW w:type="dxa" w:w="178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514</w:t>
            </w:r>
          </w:p>
        </w:tc>
      </w:tr>
      <w:tr>
        <w:trPr>
          <w:trHeight w:hRule="atLeast" w:val="300"/>
          <w:cantSplit w:val="false"/>
        </w:trPr>
        <w:tc>
          <w:tcPr>
            <w:tcW w:type="dxa" w:w="2118"/>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t>Italy</w:t>
            </w:r>
          </w:p>
        </w:tc>
        <w:tc>
          <w:tcPr>
            <w:tcW w:type="dxa" w:w="1055"/>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27</w:t>
            </w:r>
          </w:p>
        </w:tc>
        <w:tc>
          <w:tcPr>
            <w:tcW w:type="dxa" w:w="810"/>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28</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19</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26</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14</w:t>
            </w:r>
          </w:p>
        </w:tc>
        <w:tc>
          <w:tcPr>
            <w:tcW w:type="dxa" w:w="703"/>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w:t>
            </w:r>
          </w:p>
        </w:tc>
        <w:tc>
          <w:tcPr>
            <w:tcW w:type="dxa" w:w="178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116</w:t>
            </w:r>
          </w:p>
        </w:tc>
      </w:tr>
      <w:tr>
        <w:trPr>
          <w:trHeight w:hRule="atLeast" w:val="300"/>
          <w:cantSplit w:val="false"/>
        </w:trPr>
        <w:tc>
          <w:tcPr>
            <w:tcW w:type="dxa" w:w="2118"/>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t>Rest of the World</w:t>
            </w:r>
          </w:p>
        </w:tc>
        <w:tc>
          <w:tcPr>
            <w:tcW w:type="dxa" w:w="1055"/>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88</w:t>
            </w:r>
          </w:p>
        </w:tc>
        <w:tc>
          <w:tcPr>
            <w:tcW w:type="dxa" w:w="810"/>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94</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86</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56</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59</w:t>
            </w:r>
          </w:p>
        </w:tc>
        <w:tc>
          <w:tcPr>
            <w:tcW w:type="dxa" w:w="703"/>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15</w:t>
            </w:r>
          </w:p>
        </w:tc>
        <w:tc>
          <w:tcPr>
            <w:tcW w:type="dxa" w:w="178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398</w:t>
            </w:r>
          </w:p>
        </w:tc>
      </w:tr>
      <w:tr>
        <w:trPr>
          <w:trHeight w:hRule="atLeast" w:val="300"/>
          <w:cantSplit w:val="false"/>
        </w:trPr>
        <w:tc>
          <w:tcPr>
            <w:tcW w:type="dxa" w:w="2118"/>
            <w:tcBorders/>
            <w:shd w:fill="FFFFFF" w:val="clear"/>
            <w:tcMar>
              <w:top w:type="dxa" w:w="0"/>
              <w:left w:type="dxa" w:w="108"/>
              <w:bottom w:type="dxa" w:w="0"/>
              <w:right w:type="dxa" w:w="108"/>
            </w:tcMar>
            <w:vAlign w:val="bottom"/>
          </w:tcPr>
          <w:p>
            <w:pPr>
              <w:pStyle w:val="style0"/>
            </w:pPr>
            <w:r>
              <w:rPr>
                <w:rFonts w:ascii="Calibri" w:cs="Times New Roman" w:eastAsia="Times New Roman" w:hAnsi="Calibri"/>
                <w:color w:val="000000"/>
              </w:rPr>
              <w:t>Italy vs. World</w:t>
            </w:r>
          </w:p>
        </w:tc>
        <w:tc>
          <w:tcPr>
            <w:tcW w:type="dxa" w:w="1055"/>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23%</w:t>
            </w:r>
          </w:p>
        </w:tc>
        <w:tc>
          <w:tcPr>
            <w:tcW w:type="dxa" w:w="810"/>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23%</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18%</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32%</w:t>
            </w:r>
          </w:p>
        </w:tc>
        <w:tc>
          <w:tcPr>
            <w:tcW w:type="dxa" w:w="70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19%</w:t>
            </w:r>
          </w:p>
        </w:tc>
        <w:tc>
          <w:tcPr>
            <w:tcW w:type="dxa" w:w="703"/>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12%</w:t>
            </w:r>
          </w:p>
        </w:tc>
        <w:tc>
          <w:tcPr>
            <w:tcW w:type="dxa" w:w="1782"/>
            <w:tcBorders/>
            <w:shd w:fill="FFFFFF" w:val="clear"/>
            <w:tcMar>
              <w:top w:type="dxa" w:w="0"/>
              <w:left w:type="dxa" w:w="108"/>
              <w:bottom w:type="dxa" w:w="0"/>
              <w:right w:type="dxa" w:w="108"/>
            </w:tcMar>
            <w:vAlign w:val="bottom"/>
          </w:tcPr>
          <w:p>
            <w:pPr>
              <w:pStyle w:val="style0"/>
              <w:jc w:val="right"/>
            </w:pPr>
            <w:r>
              <w:rPr>
                <w:rFonts w:ascii="Calibri" w:cs="Times New Roman" w:eastAsia="Times New Roman" w:hAnsi="Calibri"/>
                <w:color w:val="000000"/>
              </w:rPr>
              <w:t>23%</w:t>
            </w:r>
          </w:p>
        </w:tc>
      </w:tr>
    </w:tbl>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32721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
                    <a:srcRect/>
                    <a:stretch>
                      <a:fillRect/>
                    </a:stretch>
                  </pic:blipFill>
                  <pic:spPr bwMode="auto">
                    <a:xfrm>
                      <a:off x="0" y="0"/>
                      <a:ext cx="5270500" cy="327215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353949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
                    <a:srcRect/>
                    <a:stretch>
                      <a:fillRect/>
                    </a:stretch>
                  </pic:blipFill>
                  <pic:spPr bwMode="auto">
                    <a:xfrm>
                      <a:off x="0" y="0"/>
                      <a:ext cx="5270500" cy="353949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color w:val="000000"/>
          <w:sz w:val="28"/>
          <w:szCs w:val="28"/>
        </w:rPr>
      </w:r>
    </w:p>
    <w:p>
      <w:pPr>
        <w:pStyle w:val="style1"/>
        <w:pageBreakBefore/>
      </w:pPr>
      <w:r>
        <w:rPr/>
        <w:t xml:space="preserve">Space facility  2 :  </w:t>
      </w:r>
      <w:r>
        <w:rPr>
          <w:u w:val="single"/>
        </w:rPr>
        <w:t>FERMI</w:t>
      </w:r>
    </w:p>
    <w:p>
      <w:pPr>
        <w:pStyle w:val="style0"/>
      </w:pPr>
      <w:r>
        <w:rPr>
          <w:rFonts w:ascii="Times New Roman" w:cs="Times New Roman" w:hAnsi="Times New Roman"/>
        </w:rPr>
      </w:r>
    </w:p>
    <w:p>
      <w:pPr>
        <w:pStyle w:val="style0"/>
      </w:pPr>
      <w:r>
        <w:rPr>
          <w:rFonts w:ascii="Verdana" w:cs="Verdana" w:hAnsi="Verdana"/>
          <w:b/>
          <w:bCs/>
          <w:i/>
          <w:color w:val="091725"/>
        </w:rPr>
        <w:t>Fermi Gamma-ray Space Telescope</w:t>
      </w:r>
      <w:r>
        <w:rPr>
          <w:rFonts w:ascii="Verdana" w:cs="Verdana" w:hAnsi="Verdana"/>
          <w:i/>
          <w:color w:val="091725"/>
        </w:rPr>
        <w:t xml:space="preserve"> </w:t>
      </w:r>
    </w:p>
    <w:p>
      <w:pPr>
        <w:pStyle w:val="style0"/>
      </w:pPr>
      <w:r>
        <w:rPr>
          <w:rFonts w:ascii="Verdana" w:cs="Verdana" w:hAnsi="Verdana"/>
          <w:color w:val="091725"/>
        </w:rPr>
      </w:r>
    </w:p>
    <w:p>
      <w:pPr>
        <w:pStyle w:val="style0"/>
        <w:jc w:val="both"/>
      </w:pPr>
      <w:r>
        <w:rPr>
          <w:rFonts w:ascii="Times New Roman" w:cs="Times New Roman" w:hAnsi="Times New Roman"/>
        </w:rPr>
        <w:t>Launch: 2008</w:t>
      </w:r>
    </w:p>
    <w:p>
      <w:pPr>
        <w:pStyle w:val="style0"/>
        <w:jc w:val="both"/>
      </w:pPr>
      <w:r>
        <w:rPr>
          <w:rFonts w:ascii="Times New Roman" w:cs="Times New Roman" w:hAnsi="Times New Roman"/>
        </w:rPr>
        <w:t xml:space="preserve">Fermi has an imaging gamma-ray telescope vastly more capable than instruments flown previously, as well as a secondary instrument to augment the study of gamma-ray bursts. The main instrument, the </w:t>
      </w:r>
      <w:hyperlink r:id="rId9">
        <w:r>
          <w:rPr>
            <w:rStyle w:val="style17"/>
            <w:rFonts w:ascii="Times New Roman" w:cs="Times New Roman" w:hAnsi="Times New Roman"/>
          </w:rPr>
          <w:t>Large Area Telescope</w:t>
        </w:r>
      </w:hyperlink>
      <w:r>
        <w:rPr>
          <w:rFonts w:ascii="Times New Roman" w:cs="Times New Roman" w:hAnsi="Times New Roman"/>
        </w:rPr>
        <w:t xml:space="preserve"> (LAT), has superior area, angular resolution, field of view, and deadtime that together provide a factor of 30 or more advance in sensitivity, as well as capability for studying of transient phenomena (http://fermi.gsfc.nasa.gov/science/instruments/table1-1.html). The </w:t>
      </w:r>
      <w:hyperlink r:id="rId10">
        <w:r>
          <w:rPr>
            <w:rStyle w:val="style17"/>
            <w:rFonts w:ascii="Times New Roman" w:cs="Times New Roman" w:hAnsi="Times New Roman"/>
          </w:rPr>
          <w:t>Gamma-ray Burst Monitor</w:t>
        </w:r>
      </w:hyperlink>
      <w:r>
        <w:rPr>
          <w:rFonts w:ascii="Times New Roman" w:cs="Times New Roman" w:hAnsi="Times New Roman"/>
        </w:rPr>
        <w:t xml:space="preserve"> (GBM) has a field of view several times larger than LAT and provides spectral coverage of gamma-ray bursts that extends from the lower limit of LAT down to 10 keV.</w:t>
      </w:r>
    </w:p>
    <w:p>
      <w:pPr>
        <w:pStyle w:val="style0"/>
        <w:jc w:val="both"/>
      </w:pPr>
      <w:r>
        <w:rPr>
          <w:rFonts w:ascii="Times New Roman" w:cs="Times New Roman" w:hAnsi="Times New Roman"/>
        </w:rPr>
        <w:t>Status: ongoing</w:t>
      </w:r>
    </w:p>
    <w:p>
      <w:pPr>
        <w:pStyle w:val="style0"/>
        <w:jc w:val="both"/>
      </w:pPr>
      <w:r>
        <w:rPr>
          <w:rFonts w:ascii="Times New Roman" w:cs="Times New Roman" w:hAnsi="Times New Roman"/>
        </w:rPr>
      </w:r>
    </w:p>
    <w:p>
      <w:pPr>
        <w:pStyle w:val="style0"/>
        <w:jc w:val="both"/>
      </w:pPr>
      <w:r>
        <w:rPr>
          <w:rFonts w:ascii="Times New Roman" w:cs="Times New Roman" w:hAnsi="Times New Roman"/>
        </w:rPr>
        <w:t>The specific policy of this mission prevents statistics on the proposals. The data of the continuous survey of the sky are public and ready in the archive facility. Thus, the observations are immediately available to the astronomical community without any time requests. We acknowledge D. Gasparrini and S. Cutini (ASDC) for their help in the generation of the tables.</w:t>
      </w:r>
    </w:p>
    <w:p>
      <w:pPr>
        <w:pStyle w:val="style0"/>
        <w:jc w:val="both"/>
      </w:pPr>
      <w:r>
        <w:rPr>
          <w:rFonts w:ascii="Times New Roman" w:cs="Times New Roman" w:hAnsi="Times New Roman"/>
        </w:rPr>
      </w:r>
    </w:p>
    <w:p>
      <w:pPr>
        <w:pStyle w:val="style4"/>
        <w:numPr>
          <w:ilvl w:val="3"/>
          <w:numId w:val="1"/>
        </w:numPr>
      </w:pPr>
      <w:r>
        <w:rPr>
          <w:color w:val="365F91"/>
        </w:rPr>
        <w:t>2) REFEREED PAPERS FROM MEMBERS OF THE LAT COLLABORATION (2008-2013):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4"/>
        </w:numPr>
      </w:pPr>
      <w:r>
        <w:rPr>
          <w:rFonts w:ascii="Times New Roman" w:cs="Times New Roman" w:hAnsi="Times New Roman"/>
        </w:rPr>
        <w:t>Fermi LAT collaboration</w:t>
      </w:r>
    </w:p>
    <w:p>
      <w:pPr>
        <w:pStyle w:val="style0"/>
      </w:pPr>
      <w:r>
        <w:rPr>
          <w:rFonts w:ascii="Times New Roman" w:cs="Times New Roman" w:hAnsi="Times New Roman"/>
        </w:rPr>
        <w:tab/>
        <w:t>(https://www-glast.stanford.edu/cgi-bin/pubpub)</w:t>
      </w:r>
    </w:p>
    <w:p>
      <w:pPr>
        <w:pStyle w:val="style0"/>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tbl>
      <w:tblPr>
        <w:jc w:val="center"/>
        <w:tblBorders/>
      </w:tblPr>
      <w:tblGrid>
        <w:gridCol w:w="1389"/>
        <w:gridCol w:w="2262"/>
      </w:tblGrid>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t>Categories:</w:t>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AGN</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Calibration</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Catalogs</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Dark matter</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Diffuse</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Galactic</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GRBs</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Solar</w:t>
            </w:r>
          </w:p>
        </w:tc>
      </w:tr>
      <w:tr>
        <w:trPr>
          <w:trHeight w:hRule="atLeast" w:val="300"/>
          <w:cantSplit w:val="false"/>
        </w:trPr>
        <w:tc>
          <w:tcPr>
            <w:tcW w:type="dxa" w:w="1389"/>
            <w:tcBorders/>
            <w:shd w:fill="auto" w:val="clear"/>
            <w:tcMar>
              <w:top w:type="dxa" w:w="0"/>
              <w:left w:type="dxa" w:w="108"/>
              <w:bottom w:type="dxa" w:w="0"/>
              <w:right w:type="dxa" w:w="108"/>
            </w:tcMar>
          </w:tcPr>
          <w:p>
            <w:pPr>
              <w:pStyle w:val="style0"/>
              <w:jc w:val="center"/>
            </w:pPr>
            <w:r>
              <w:rPr>
                <w:rFonts w:ascii="Times New Roman" w:cs="Times New Roman" w:hAnsi="Times New Roman"/>
                <w:bCs/>
                <w:sz w:val="22"/>
                <w:szCs w:val="22"/>
              </w:rPr>
            </w:r>
          </w:p>
        </w:tc>
        <w:tc>
          <w:tcPr>
            <w:tcW w:type="dxa" w:w="2262"/>
            <w:tcBorders/>
            <w:shd w:fill="auto" w:val="clear"/>
            <w:tcMar>
              <w:top w:type="dxa" w:w="0"/>
              <w:left w:type="dxa" w:w="108"/>
              <w:bottom w:type="dxa" w:w="0"/>
              <w:right w:type="dxa" w:w="108"/>
            </w:tcMar>
          </w:tcPr>
          <w:p>
            <w:pPr>
              <w:pStyle w:val="style0"/>
              <w:jc w:val="center"/>
            </w:pPr>
            <w:r>
              <w:rPr>
                <w:rFonts w:ascii="Times New Roman" w:cs="Times New Roman" w:hAnsi="Times New Roman"/>
              </w:rPr>
              <w:t>General</w:t>
            </w:r>
          </w:p>
        </w:tc>
      </w:tr>
    </w:tbl>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drawing>
          <wp:inline distB="0" distL="0" distR="0" distT="0">
            <wp:extent cx="5270500" cy="46945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
                    <a:srcRect/>
                    <a:stretch>
                      <a:fillRect/>
                    </a:stretch>
                  </pic:blipFill>
                  <pic:spPr bwMode="auto">
                    <a:xfrm>
                      <a:off x="0" y="0"/>
                      <a:ext cx="5270500" cy="4694555"/>
                    </a:xfrm>
                    <a:prstGeom prst="rect">
                      <a:avLst/>
                    </a:prstGeom>
                    <a:noFill/>
                    <a:ln w="9525">
                      <a:noFill/>
                      <a:miter lim="800000"/>
                      <a:headEnd/>
                      <a:tailEnd/>
                    </a:ln>
                  </pic:spPr>
                </pic:pic>
              </a:graphicData>
            </a:graphic>
          </wp:inline>
        </w:drawing>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drawing>
          <wp:inline distB="0" distL="0" distR="0" distT="0">
            <wp:extent cx="5270500" cy="359727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2"/>
                    <a:srcRect/>
                    <a:stretch>
                      <a:fillRect/>
                    </a:stretch>
                  </pic:blipFill>
                  <pic:spPr bwMode="auto">
                    <a:xfrm>
                      <a:off x="0" y="0"/>
                      <a:ext cx="5270500" cy="3597275"/>
                    </a:xfrm>
                    <a:prstGeom prst="rect">
                      <a:avLst/>
                    </a:prstGeom>
                    <a:noFill/>
                    <a:ln w="9525">
                      <a:noFill/>
                      <a:miter lim="800000"/>
                      <a:headEnd/>
                      <a:tailEnd/>
                    </a:ln>
                  </pic:spPr>
                </pic:pic>
              </a:graphicData>
            </a:graphic>
          </wp:inline>
        </w:drawing>
      </w:r>
    </w:p>
    <w:p>
      <w:pPr>
        <w:pStyle w:val="style0"/>
        <w:jc w:val="center"/>
      </w:pPr>
      <w:r>
        <w:rPr/>
        <w:drawing>
          <wp:inline distB="0" distL="0" distR="0" distT="0">
            <wp:extent cx="5270500" cy="352488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3"/>
                    <a:srcRect/>
                    <a:stretch>
                      <a:fillRect/>
                    </a:stretch>
                  </pic:blipFill>
                  <pic:spPr bwMode="auto">
                    <a:xfrm>
                      <a:off x="0" y="0"/>
                      <a:ext cx="5270500" cy="3524885"/>
                    </a:xfrm>
                    <a:prstGeom prst="rect">
                      <a:avLst/>
                    </a:prstGeom>
                    <a:noFill/>
                    <a:ln w="9525">
                      <a:noFill/>
                      <a:miter lim="800000"/>
                      <a:headEnd/>
                      <a:tailEnd/>
                    </a:ln>
                  </pic:spPr>
                </pic:pic>
              </a:graphicData>
            </a:graphic>
          </wp:inline>
        </w:drawing>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t>Global statistics for INAF and INFN:</w:t>
      </w:r>
    </w:p>
    <w:p>
      <w:pPr>
        <w:pStyle w:val="style0"/>
      </w:pPr>
      <w:r>
        <w:rPr>
          <w:rFonts w:ascii="Times New Roman" w:cs="Times New Roman" w:hAnsi="Times New Roman"/>
        </w:rPr>
      </w:r>
    </w:p>
    <w:p>
      <w:pPr>
        <w:pStyle w:val="style0"/>
      </w:pPr>
      <w:r>
        <w:rPr/>
        <w:drawing>
          <wp:inline distB="0" distL="0" distR="0" distT="0">
            <wp:extent cx="5270500" cy="294703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4"/>
                    <a:srcRect/>
                    <a:stretch>
                      <a:fillRect/>
                    </a:stretch>
                  </pic:blipFill>
                  <pic:spPr bwMode="auto">
                    <a:xfrm>
                      <a:off x="0" y="0"/>
                      <a:ext cx="5270500" cy="294703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b/>
          <w:u w:val="single"/>
        </w:rPr>
      </w:r>
    </w:p>
    <w:p>
      <w:pPr>
        <w:pStyle w:val="style0"/>
      </w:pPr>
      <w:r>
        <w:rPr>
          <w:rFonts w:ascii="Times New Roman" w:cs="Times New Roman" w:hAnsi="Times New Roman"/>
        </w:rPr>
      </w:r>
    </w:p>
    <w:p>
      <w:pPr>
        <w:pStyle w:val="style0"/>
      </w:pPr>
      <w:r>
        <w:rPr>
          <w:rFonts w:ascii="Calibri" w:cs="" w:hAnsi="Calibri"/>
          <w:b/>
          <w:bCs/>
          <w:i/>
          <w:iCs/>
          <w:color w:val="4F81BD"/>
        </w:rPr>
      </w:r>
    </w:p>
    <w:p>
      <w:pPr>
        <w:pStyle w:val="style4"/>
        <w:pageBreakBefore/>
        <w:numPr>
          <w:ilvl w:val="3"/>
          <w:numId w:val="1"/>
        </w:numPr>
      </w:pPr>
      <w:r>
        <w:rPr>
          <w:color w:val="365F91"/>
        </w:rPr>
        <w:t>2bis) REFEREED PAPERS OUT OF THE LAT COLLABORATION (2008-2013):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SAO/NASA Astrophysics Data System (ADS)</w:t>
      </w:r>
    </w:p>
    <w:p>
      <w:pPr>
        <w:pStyle w:val="style0"/>
      </w:pPr>
      <w:r>
        <w:rPr>
          <w:rFonts w:ascii="Times New Roman" w:cs="Times New Roman" w:hAnsi="Times New Roman"/>
        </w:rPr>
        <w:tab/>
        <w:t>(query: "FERMI LAT" string in the abstract)</w:t>
      </w:r>
    </w:p>
    <w:p>
      <w:pPr>
        <w:pStyle w:val="style0"/>
      </w:pPr>
      <w:r>
        <w:rPr>
          <w:rFonts w:ascii="Times New Roman" w:cs="Times New Roman" w:hAnsi="Times New Roman"/>
        </w:rPr>
      </w:r>
    </w:p>
    <w:p>
      <w:pPr>
        <w:pStyle w:val="style0"/>
      </w:pPr>
      <w:r>
        <w:rPr/>
        <w:drawing>
          <wp:inline distB="0" distL="0" distR="0" distT="0">
            <wp:extent cx="5270500" cy="69469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5"/>
                    <a:srcRect/>
                    <a:stretch>
                      <a:fillRect/>
                    </a:stretch>
                  </pic:blipFill>
                  <pic:spPr bwMode="auto">
                    <a:xfrm>
                      <a:off x="0" y="0"/>
                      <a:ext cx="5270500" cy="69469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33889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6"/>
                    <a:srcRect/>
                    <a:stretch>
                      <a:fillRect/>
                    </a:stretch>
                  </pic:blipFill>
                  <pic:spPr bwMode="auto">
                    <a:xfrm>
                      <a:off x="0" y="0"/>
                      <a:ext cx="5270500" cy="338899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1"/>
      </w:pPr>
      <w:r>
        <w:rPr/>
        <w:t xml:space="preserve">Space facility  3 :  </w:t>
      </w:r>
      <w:r>
        <w:rPr>
          <w:u w:val="single"/>
        </w:rPr>
        <w:t>XMM-NEWTON</w:t>
      </w:r>
    </w:p>
    <w:p>
      <w:pPr>
        <w:pStyle w:val="style0"/>
      </w:pPr>
      <w:r>
        <w:rPr>
          <w:rFonts w:ascii="Times New Roman" w:cs="Times New Roman" w:hAnsi="Times New Roman"/>
        </w:rPr>
      </w:r>
    </w:p>
    <w:p>
      <w:pPr>
        <w:pStyle w:val="style0"/>
      </w:pPr>
      <w:r>
        <w:rPr>
          <w:rFonts w:ascii="Verdana" w:cs="Verdana" w:hAnsi="Verdana"/>
          <w:b/>
          <w:bCs/>
          <w:i/>
          <w:color w:val="091725"/>
        </w:rPr>
        <w:t>X-ray Multi-Mirror–NEWTON Space Telescope</w:t>
      </w:r>
      <w:r>
        <w:rPr>
          <w:rFonts w:ascii="Verdana" w:cs="Verdana" w:hAnsi="Verdana"/>
          <w:i/>
          <w:color w:val="091725"/>
        </w:rPr>
        <w:t xml:space="preserve"> </w:t>
      </w:r>
    </w:p>
    <w:p>
      <w:pPr>
        <w:pStyle w:val="style0"/>
      </w:pPr>
      <w:r>
        <w:rPr>
          <w:rFonts w:ascii="Verdana" w:cs="Verdana" w:hAnsi="Verdana"/>
          <w:color w:val="091725"/>
        </w:rPr>
      </w:r>
    </w:p>
    <w:p>
      <w:pPr>
        <w:pStyle w:val="style0"/>
        <w:jc w:val="both"/>
      </w:pPr>
      <w:r>
        <w:rPr>
          <w:rFonts w:ascii="Times New Roman" w:cs="Times New Roman" w:hAnsi="Times New Roman"/>
        </w:rPr>
        <w:t>Launch: 1999</w:t>
      </w:r>
    </w:p>
    <w:p>
      <w:pPr>
        <w:pStyle w:val="style0"/>
        <w:jc w:val="both"/>
      </w:pPr>
      <w:r>
        <w:rPr>
          <w:rFonts w:ascii="Times New Roman" w:cs="Times New Roman" w:hAnsi="Times New Roman"/>
        </w:rPr>
        <w:t>XMM-Newton high quality focusing mirrors and battery of instruments enable it to investigate spectra of cosmic X-ray sources with a limiting flux of 10-15 erg cm</w:t>
      </w:r>
      <w:r>
        <w:rPr>
          <w:rFonts w:ascii="Times New Roman" w:cs="Times New Roman" w:hAnsi="Times New Roman"/>
          <w:vertAlign w:val="superscript"/>
        </w:rPr>
        <w:t>-2</w:t>
      </w:r>
      <w:r>
        <w:rPr>
          <w:rFonts w:ascii="Times New Roman" w:cs="Times New Roman" w:hAnsi="Times New Roman"/>
        </w:rPr>
        <w:t xml:space="preserve"> s</w:t>
      </w:r>
      <w:r>
        <w:rPr>
          <w:rFonts w:ascii="Times New Roman" w:cs="Times New Roman" w:hAnsi="Times New Roman"/>
          <w:vertAlign w:val="superscript"/>
        </w:rPr>
        <w:t>-1</w:t>
      </w:r>
      <w:r>
        <w:rPr>
          <w:rFonts w:ascii="Times New Roman" w:cs="Times New Roman" w:hAnsi="Times New Roman"/>
        </w:rPr>
        <w:t>; to perform sensitive medium-resolution spectroscopy with resolving powers between 150 and 800 over the wavelength band 5 - 35 Å (350 - 2500 eV); to provide broad band imaging spectroscopy from 150 eV to 15 keV (0.8 - 80 Å) and to obtain simultaneous sensitive coverage of the wavelength band 1700 to 6500 Å through a dedicated co-aligned optical monitor</w:t>
      </w:r>
    </w:p>
    <w:p>
      <w:pPr>
        <w:pStyle w:val="style0"/>
        <w:jc w:val="both"/>
      </w:pPr>
      <w:r>
        <w:rPr>
          <w:rFonts w:ascii="Times New Roman" w:cs="Times New Roman" w:hAnsi="Times New Roman"/>
        </w:rPr>
        <w:t>Status: ongoing</w:t>
      </w:r>
    </w:p>
    <w:p>
      <w:pPr>
        <w:pStyle w:val="style0"/>
      </w:pPr>
      <w:r>
        <w:rPr>
          <w:rFonts w:ascii="Times New Roman" w:cs="Times New Roman" w:hAnsi="Times New Roman"/>
          <w:color w:val="365F91"/>
        </w:rPr>
      </w:r>
    </w:p>
    <w:p>
      <w:pPr>
        <w:pStyle w:val="style0"/>
      </w:pPr>
      <w:r>
        <w:rPr>
          <w:rFonts w:ascii="Calibri" w:cs="" w:hAnsi="Calibri"/>
          <w:b/>
          <w:bCs/>
          <w:i/>
          <w:iCs/>
          <w:color w:val="365F91"/>
        </w:rPr>
        <w:t>1) ACCEPTED OBSERVING PROPOSALS (2008-2012):</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ESA XMM-Newton Science Operations Centre</w:t>
      </w:r>
    </w:p>
    <w:p>
      <w:pPr>
        <w:pStyle w:val="style0"/>
      </w:pPr>
      <w:r>
        <w:rPr>
          <w:rFonts w:ascii="Times New Roman" w:cs="Times New Roman" w:hAnsi="Times New Roman"/>
        </w:rPr>
        <w:tab/>
        <w:t>(http://xmm.esac.esa.int/external/xmm_news/otac_results/index.shtml)</w:t>
      </w:r>
    </w:p>
    <w:p>
      <w:pPr>
        <w:pStyle w:val="style0"/>
      </w:pPr>
      <w:r>
        <w:rPr>
          <w:rFonts w:ascii="Times New Roman" w:cs="Times New Roman" w:hAnsi="Times New Roman"/>
        </w:rPr>
      </w:r>
    </w:p>
    <w:tbl>
      <w:tblPr>
        <w:jc w:val="left"/>
        <w:tblInd w:type="dxa" w:w="-108"/>
        <w:tblBorders/>
      </w:tblPr>
      <w:tblGrid>
        <w:gridCol w:w="1210"/>
        <w:gridCol w:w="7305"/>
      </w:tblGrid>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rFonts w:ascii="Times New Roman" w:cs="Times New Roman" w:hAnsi="Times New Roman"/>
                <w:bCs/>
                <w:sz w:val="20"/>
              </w:rPr>
              <w:t>Categories:</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jc w:val="center"/>
            </w:pPr>
            <w:r>
              <w:rPr>
                <w:rFonts w:ascii="Times New Roman" w:cs="Times New Roman" w:hAnsi="Times New Roman"/>
                <w:b/>
                <w:bCs/>
                <w:sz w:val="20"/>
              </w:rPr>
              <w:t>A</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t>Stars, White Dwarfs and Solar System</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jc w:val="center"/>
            </w:pPr>
            <w:r>
              <w:rPr>
                <w:rFonts w:ascii="Times New Roman" w:cs="Times New Roman" w:hAnsi="Times New Roman"/>
                <w:b/>
                <w:bCs/>
                <w:sz w:val="20"/>
              </w:rPr>
              <w:t>B</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t>White Dwarf Binaries, Neutron Star Binaries, Cataclysmic Variables, ULXs and Black Holes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jc w:val="center"/>
            </w:pPr>
            <w:r>
              <w:rPr>
                <w:rFonts w:ascii="Times New Roman" w:cs="Times New Roman" w:hAnsi="Times New Roman"/>
                <w:b/>
                <w:bCs/>
                <w:sz w:val="20"/>
              </w:rPr>
              <w:t>C</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t>Supernovae, Supernova Remnants, Diffuse (galactic) Emission and Isolated Neutron Stars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jc w:val="center"/>
            </w:pPr>
            <w:r>
              <w:rPr>
                <w:rFonts w:ascii="Times New Roman" w:cs="Times New Roman" w:hAnsi="Times New Roman"/>
                <w:b/>
                <w:bCs/>
                <w:sz w:val="20"/>
              </w:rPr>
              <w:t>D</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t>Galaxies and Galactic Surveys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jc w:val="center"/>
            </w:pPr>
            <w:r>
              <w:rPr>
                <w:rFonts w:ascii="Times New Roman" w:cs="Times New Roman" w:hAnsi="Times New Roman"/>
                <w:b/>
                <w:bCs/>
                <w:sz w:val="20"/>
              </w:rPr>
              <w:t>E</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t>Active Galactic Nuclei, Quasars, BL-Lac Objects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jc w:val="center"/>
            </w:pPr>
            <w:r>
              <w:rPr>
                <w:rFonts w:ascii="Times New Roman" w:cs="Times New Roman" w:hAnsi="Times New Roman"/>
                <w:b/>
                <w:bCs/>
                <w:sz w:val="20"/>
              </w:rPr>
              <w:t>F</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t>Galaxies, Groups of Galaxies, Clusters of Galaxies and Super-clusters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jc w:val="center"/>
            </w:pPr>
            <w:r>
              <w:rPr>
                <w:rFonts w:ascii="Times New Roman" w:cs="Times New Roman" w:hAnsi="Times New Roman"/>
                <w:b/>
                <w:bCs/>
                <w:sz w:val="20"/>
              </w:rPr>
              <w:t>G</w:t>
            </w:r>
          </w:p>
        </w:tc>
        <w:tc>
          <w:tcPr>
            <w:tcW w:type="dxa" w:w="7305"/>
            <w:tcBorders/>
            <w:shd w:fill="auto" w:val="clear"/>
            <w:tcMar>
              <w:top w:type="dxa" w:w="0"/>
              <w:left w:type="dxa" w:w="108"/>
              <w:bottom w:type="dxa" w:w="0"/>
              <w:right w:type="dxa" w:w="108"/>
            </w:tcMar>
          </w:tcPr>
          <w:p>
            <w:pPr>
              <w:pStyle w:val="style0"/>
            </w:pPr>
            <w:r>
              <w:rPr>
                <w:rFonts w:ascii="Times New Roman" w:cs="Times New Roman" w:hAnsi="Times New Roman"/>
                <w:bCs/>
                <w:sz w:val="20"/>
              </w:rPr>
              <w:t>Cosmology, Extragalactic Deep Fields and Large Extragalactic Areas</w:t>
            </w:r>
          </w:p>
        </w:tc>
      </w:tr>
    </w:tbl>
    <w:p>
      <w:pPr>
        <w:pStyle w:val="style0"/>
      </w:pPr>
      <w:r>
        <w:rPr>
          <w:rFonts w:ascii="Times New Roman" w:cs="Times New Roman" w:hAnsi="Times New Roman"/>
        </w:rPr>
      </w:r>
    </w:p>
    <w:p>
      <w:pPr>
        <w:pStyle w:val="style0"/>
      </w:pPr>
      <w:r>
        <w:rPr>
          <w:rFonts w:ascii="Times New Roman" w:cs="Times New Roman" w:hAnsi="Times New Roman"/>
        </w:rPr>
        <w:t>The following tables and figures show the data on the allocated observing time (ks).</w:t>
      </w:r>
    </w:p>
    <w:p>
      <w:pPr>
        <w:pStyle w:val="style0"/>
      </w:pPr>
      <w:r>
        <w:rPr>
          <w:rFonts w:ascii="Times New Roman" w:cs="Times New Roman" w:hAnsi="Times New Roman"/>
        </w:rPr>
      </w:r>
    </w:p>
    <w:p>
      <w:pPr>
        <w:pStyle w:val="style0"/>
      </w:pPr>
      <w:r>
        <w:rPr/>
        <w:drawing>
          <wp:inline distB="0" distL="0" distR="0" distT="0">
            <wp:extent cx="5270500" cy="15767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7"/>
                    <a:srcRect/>
                    <a:stretch>
                      <a:fillRect/>
                    </a:stretch>
                  </pic:blipFill>
                  <pic:spPr bwMode="auto">
                    <a:xfrm>
                      <a:off x="0" y="0"/>
                      <a:ext cx="5270500" cy="157670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270500" cy="15640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8"/>
                    <a:srcRect/>
                    <a:stretch>
                      <a:fillRect/>
                    </a:stretch>
                  </pic:blipFill>
                  <pic:spPr bwMode="auto">
                    <a:xfrm>
                      <a:off x="0" y="0"/>
                      <a:ext cx="5270500" cy="156400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4690745" cy="21336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9"/>
                    <a:srcRect/>
                    <a:stretch>
                      <a:fillRect/>
                    </a:stretch>
                  </pic:blipFill>
                  <pic:spPr bwMode="auto">
                    <a:xfrm>
                      <a:off x="0" y="0"/>
                      <a:ext cx="4690745" cy="213360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3597910" cy="17272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0"/>
                    <a:srcRect/>
                    <a:stretch>
                      <a:fillRect/>
                    </a:stretch>
                  </pic:blipFill>
                  <pic:spPr bwMode="auto">
                    <a:xfrm>
                      <a:off x="0" y="0"/>
                      <a:ext cx="3597910" cy="172720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color w:val="365F91"/>
        </w:rPr>
      </w:r>
    </w:p>
    <w:p>
      <w:pPr>
        <w:pStyle w:val="style0"/>
      </w:pPr>
      <w:r>
        <w:rPr>
          <w:rFonts w:ascii="Times New Roman" w:cs="Times New Roman" w:hAnsi="Times New Roman"/>
          <w:color w:val="365F91"/>
        </w:rPr>
      </w:r>
    </w:p>
    <w:p>
      <w:pPr>
        <w:pStyle w:val="style0"/>
      </w:pPr>
      <w:r>
        <w:rPr>
          <w:rFonts w:ascii="Calibri" w:cs="" w:hAnsi="Calibri"/>
          <w:b/>
          <w:bCs/>
          <w:i/>
          <w:iCs/>
          <w:color w:val="365F91"/>
        </w:rPr>
        <w:t>2) REFEREED PAPERS (2008-2013):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ESA XMM-Newton Science Operations Centre</w:t>
      </w:r>
    </w:p>
    <w:p>
      <w:pPr>
        <w:pStyle w:val="style0"/>
      </w:pPr>
      <w:r>
        <w:rPr>
          <w:rFonts w:ascii="Times New Roman" w:cs="Times New Roman" w:hAnsi="Times New Roman"/>
        </w:rPr>
        <w:tab/>
        <w:t>(http://heasarc.gsfc.nasa.gov/docs/xmm/xmmbib_author.html)</w:t>
      </w:r>
    </w:p>
    <w:p>
      <w:pPr>
        <w:pStyle w:val="style0"/>
      </w:pPr>
      <w:r>
        <w:rPr>
          <w:rFonts w:ascii="Times New Roman" w:cs="Times New Roman" w:hAnsi="Times New Roman"/>
        </w:rPr>
      </w:r>
    </w:p>
    <w:p>
      <w:pPr>
        <w:pStyle w:val="style0"/>
      </w:pPr>
      <w:r>
        <w:rPr>
          <w:rFonts w:ascii="Times New Roman" w:cs="Times New Roman" w:hAnsi="Times New Roman"/>
        </w:rPr>
      </w:r>
    </w:p>
    <w:tbl>
      <w:tblPr>
        <w:jc w:val="left"/>
        <w:tblInd w:type="dxa" w:w="600"/>
        <w:tblBorders/>
      </w:tblPr>
      <w:tblGrid>
        <w:gridCol w:w="2181"/>
        <w:gridCol w:w="2400"/>
      </w:tblGrid>
      <w:tr>
        <w:trPr>
          <w:trHeight w:hRule="atLeast" w:val="300"/>
          <w:cantSplit w:val="false"/>
        </w:trPr>
        <w:tc>
          <w:tcPr>
            <w:tcW w:type="dxa" w:w="2181"/>
            <w:gridSpan w:val="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Categories:</w:t>
            </w:r>
          </w:p>
        </w:tc>
        <w:tc>
          <w:tcPr>
            <w:tcW w:type="dxa" w:w="2400"/>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1</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Instrumentation</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2</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Background/Surveys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3</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Galaxy Clusters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4</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AGN</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5</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Galaxies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6</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GRBs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7</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ISM</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8</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Stellar Clusters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9</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SNRs/SNe</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10</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Planetary Nebulae</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11</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X-Ray Binaries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12</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Cataclysmic Variables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13</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Neutron Stars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14</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Stars</w:t>
            </w:r>
          </w:p>
        </w:tc>
      </w:tr>
      <w:tr>
        <w:trPr>
          <w:trHeight w:hRule="atLeast" w:val="300"/>
          <w:cantSplit w:val="false"/>
        </w:trPr>
        <w:tc>
          <w:tcPr>
            <w:tcW w:type="dxa" w:w="222"/>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r>
          </w:p>
        </w:tc>
        <w:tc>
          <w:tcPr>
            <w:tcW w:type="dxa" w:w="1958"/>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15</w:t>
            </w:r>
          </w:p>
        </w:tc>
        <w:tc>
          <w:tcPr>
            <w:tcW w:type="dxa" w:w="2401"/>
            <w:tcBorders/>
            <w:shd w:fill="auto" w:val="clear"/>
            <w:tcMar>
              <w:top w:type="dxa" w:w="0"/>
              <w:left w:type="dxa" w:w="108"/>
              <w:bottom w:type="dxa" w:w="0"/>
              <w:right w:type="dxa" w:w="108"/>
            </w:tcMar>
          </w:tcPr>
          <w:p>
            <w:pPr>
              <w:pStyle w:val="style0"/>
            </w:pPr>
            <w:r>
              <w:rPr>
                <w:rFonts w:ascii="Times New Roman" w:cs="Times New Roman" w:hAnsi="Times New Roman"/>
                <w:bCs/>
                <w:sz w:val="20"/>
                <w:szCs w:val="20"/>
              </w:rPr>
              <w:t xml:space="preserve">    </w:t>
            </w:r>
            <w:r>
              <w:rPr>
                <w:rFonts w:ascii="Times New Roman" w:cs="Times New Roman" w:hAnsi="Times New Roman"/>
                <w:bCs/>
                <w:sz w:val="20"/>
                <w:szCs w:val="20"/>
              </w:rPr>
              <w:t>Solar System</w:t>
            </w:r>
          </w:p>
        </w:tc>
      </w:tr>
    </w:tbl>
    <w:p>
      <w:pPr>
        <w:pStyle w:val="style0"/>
      </w:pPr>
      <w:r>
        <w:rPr/>
        <w:drawing>
          <wp:inline distB="0" distL="0" distR="0" distT="0">
            <wp:extent cx="5270500" cy="286194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1"/>
                    <a:srcRect/>
                    <a:stretch>
                      <a:fillRect/>
                    </a:stretch>
                  </pic:blipFill>
                  <pic:spPr bwMode="auto">
                    <a:xfrm>
                      <a:off x="0" y="0"/>
                      <a:ext cx="5270500" cy="286194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270500" cy="286194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2"/>
                    <a:srcRect/>
                    <a:stretch>
                      <a:fillRect/>
                    </a:stretch>
                  </pic:blipFill>
                  <pic:spPr bwMode="auto">
                    <a:xfrm>
                      <a:off x="0" y="0"/>
                      <a:ext cx="5270500" cy="286194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320167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3"/>
                    <a:srcRect/>
                    <a:stretch>
                      <a:fillRect/>
                    </a:stretch>
                  </pic:blipFill>
                  <pic:spPr bwMode="auto">
                    <a:xfrm>
                      <a:off x="0" y="0"/>
                      <a:ext cx="5270500" cy="320167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1"/>
      </w:pPr>
      <w:r>
        <w:rPr/>
        <w:t xml:space="preserve">Space facility  4 :  </w:t>
      </w:r>
      <w:r>
        <w:rPr>
          <w:u w:val="single"/>
        </w:rPr>
        <w:t>AGILE</w:t>
      </w:r>
    </w:p>
    <w:p>
      <w:pPr>
        <w:pStyle w:val="style0"/>
      </w:pPr>
      <w:r>
        <w:rPr>
          <w:rFonts w:ascii="Times New Roman" w:cs="Times New Roman" w:hAnsi="Times New Roman"/>
        </w:rPr>
      </w:r>
    </w:p>
    <w:p>
      <w:pPr>
        <w:pStyle w:val="style0"/>
      </w:pPr>
      <w:r>
        <w:rPr>
          <w:rFonts w:ascii="Verdana" w:cs="Verdana" w:hAnsi="Verdana"/>
          <w:b/>
          <w:bCs/>
          <w:i/>
          <w:color w:val="091725"/>
        </w:rPr>
        <w:t xml:space="preserve">Astrorivelatore Gamma a Immagini LEggero </w:t>
      </w:r>
    </w:p>
    <w:p>
      <w:pPr>
        <w:pStyle w:val="style0"/>
      </w:pPr>
      <w:r>
        <w:rPr>
          <w:rFonts w:ascii="Verdana" w:cs="Verdana" w:hAnsi="Verdana"/>
          <w:color w:val="091725"/>
        </w:rPr>
      </w:r>
    </w:p>
    <w:p>
      <w:pPr>
        <w:pStyle w:val="style0"/>
        <w:jc w:val="both"/>
      </w:pPr>
      <w:r>
        <w:rPr>
          <w:rFonts w:ascii="Times New Roman" w:cs="Times New Roman" w:hAnsi="Times New Roman"/>
        </w:rPr>
        <w:t>Launch: 2007</w:t>
      </w:r>
    </w:p>
    <w:p>
      <w:pPr>
        <w:pStyle w:val="style0"/>
        <w:jc w:val="both"/>
      </w:pPr>
      <w:r>
        <w:rPr>
          <w:rFonts w:ascii="Times New Roman" w:cs="Times New Roman" w:hAnsi="Times New Roman"/>
        </w:rPr>
        <w:t>AGILE is a space mission dedicated to X-ray and gamma astrophysics with imaging capabilities. It is equipped with a gamma-ray detector, sensitive to photons with energy in the range 30 MeV - 50 GeV, and a hard X-ray detector, sensitive in the range 18 - 60 keV. The instrument is completed by a calorimeter (energy range 250 keV - 100 MeV) and by an anti-coincidence system. We acknowledge C. Pittori and G. Fanari (ASDC) for their help in the generation of the proposal tables.</w:t>
      </w:r>
    </w:p>
    <w:p>
      <w:pPr>
        <w:pStyle w:val="style0"/>
        <w:jc w:val="both"/>
      </w:pPr>
      <w:r>
        <w:rPr>
          <w:rFonts w:ascii="Times New Roman" w:cs="Times New Roman" w:hAnsi="Times New Roman"/>
        </w:rPr>
        <w:t>Status: ongoing</w:t>
      </w:r>
    </w:p>
    <w:p>
      <w:pPr>
        <w:pStyle w:val="style0"/>
      </w:pPr>
      <w:r>
        <w:rPr>
          <w:rFonts w:ascii="Times New Roman" w:cs="Times New Roman" w:hAnsi="Times New Roman"/>
        </w:rPr>
      </w:r>
    </w:p>
    <w:p>
      <w:pPr>
        <w:pStyle w:val="style0"/>
      </w:pPr>
      <w:r>
        <w:rPr>
          <w:rFonts w:ascii="Calibri" w:cs="" w:hAnsi="Calibri"/>
          <w:b/>
          <w:bCs/>
          <w:i/>
          <w:iCs/>
          <w:color w:val="365F91"/>
        </w:rPr>
        <w:t>1) ACCEPTED OBSERVING PROPOSALS (2008-2012):</w:t>
      </w:r>
    </w:p>
    <w:p>
      <w:pPr>
        <w:pStyle w:val="style0"/>
      </w:pPr>
      <w:r>
        <w:rPr>
          <w:rFonts w:ascii="Times New Roman" w:cs="Times New Roman" w:hAnsi="Times New Roman"/>
          <w:color w:val="365F91"/>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AGILE SCIENCE DATA CENTRE (ASDC)</w:t>
      </w:r>
    </w:p>
    <w:p>
      <w:pPr>
        <w:pStyle w:val="style0"/>
        <w:ind w:hanging="0" w:left="708" w:right="0"/>
      </w:pPr>
      <w:r>
        <w:rPr>
          <w:rFonts w:ascii="Times New Roman" w:cs="Times New Roman" w:hAnsi="Times New Roman"/>
        </w:rPr>
        <w:t>(http://agile.asdc.asi.it:8080/proposalAO4_view.php)</w:t>
      </w:r>
    </w:p>
    <w:p>
      <w:pPr>
        <w:pStyle w:val="style0"/>
        <w:ind w:hanging="0" w:left="708" w:right="0"/>
      </w:pPr>
      <w:r>
        <w:rPr>
          <w:rFonts w:ascii="Times New Roman" w:cs="Times New Roman" w:hAnsi="Times New Roman"/>
        </w:rPr>
        <w:t>(http://agile.asdc.asi.it:8080/proposalAO3_view.php)</w:t>
      </w:r>
    </w:p>
    <w:p>
      <w:pPr>
        <w:pStyle w:val="style0"/>
        <w:ind w:hanging="0" w:left="708" w:right="0"/>
      </w:pPr>
      <w:r>
        <w:rPr>
          <w:rFonts w:ascii="Times New Roman" w:cs="Times New Roman" w:hAnsi="Times New Roman"/>
        </w:rPr>
        <w:t>(http://agile.asdc.asi.it:8080/proposalAO2_view.php)</w:t>
      </w:r>
    </w:p>
    <w:p>
      <w:pPr>
        <w:pStyle w:val="style0"/>
        <w:ind w:hanging="0" w:left="708" w:right="0"/>
      </w:pPr>
      <w:r>
        <w:rPr>
          <w:rFonts w:ascii="Times New Roman" w:cs="Times New Roman" w:hAnsi="Times New Roman"/>
        </w:rPr>
        <w:t>(http://agile.asdc.asi.it:8080/proposal_view.php)</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tbl>
      <w:tblPr>
        <w:jc w:val="left"/>
        <w:tblInd w:type="dxa" w:w="-108"/>
        <w:tblBorders/>
      </w:tblPr>
      <w:tblGrid>
        <w:gridCol w:w="1383"/>
        <w:gridCol w:w="7132"/>
      </w:tblGrid>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t>Categories:</w:t>
            </w:r>
          </w:p>
        </w:tc>
        <w:tc>
          <w:tcPr>
            <w:tcW w:type="dxa" w:w="7132"/>
            <w:tcBorders/>
            <w:shd w:fill="auto" w:val="clear"/>
            <w:tcMar>
              <w:top w:type="dxa" w:w="0"/>
              <w:left w:type="dxa" w:w="108"/>
              <w:bottom w:type="dxa" w:w="0"/>
              <w:right w:type="dxa" w:w="108"/>
            </w:tcMar>
          </w:tcPr>
          <w:p>
            <w:pPr>
              <w:pStyle w:val="style0"/>
            </w:pPr>
            <w:r>
              <w:rPr>
                <w:rFonts w:ascii="Times New Roman" w:cs="Times New Roman" w:hAnsi="Times New Roman"/>
                <w:bCs/>
                <w:szCs w:val="22"/>
              </w:rPr>
            </w:r>
          </w:p>
        </w:tc>
      </w:tr>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r>
          </w:p>
        </w:tc>
        <w:tc>
          <w:tcPr>
            <w:tcW w:type="dxa" w:w="7132"/>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1AGL Sources (Follow up of the sources included in the first AGILE catalogue)</w:t>
            </w:r>
          </w:p>
        </w:tc>
      </w:tr>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r>
          </w:p>
        </w:tc>
        <w:tc>
          <w:tcPr>
            <w:tcW w:type="dxa" w:w="7132"/>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1FGL Sources (Follow up of the sources included in the first FERMI catalogue)</w:t>
            </w:r>
          </w:p>
        </w:tc>
      </w:tr>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r>
          </w:p>
        </w:tc>
        <w:tc>
          <w:tcPr>
            <w:tcW w:type="dxa" w:w="7132"/>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3EG Sources (Follow up of the sources included in the EGRET catalogue)</w:t>
            </w:r>
          </w:p>
        </w:tc>
      </w:tr>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r>
          </w:p>
        </w:tc>
        <w:tc>
          <w:tcPr>
            <w:tcW w:type="dxa" w:w="7132"/>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Active Galactic Nuclei</w:t>
            </w:r>
          </w:p>
        </w:tc>
      </w:tr>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r>
          </w:p>
        </w:tc>
        <w:tc>
          <w:tcPr>
            <w:tcW w:type="dxa" w:w="7132"/>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Pulsars</w:t>
            </w:r>
          </w:p>
        </w:tc>
      </w:tr>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r>
          </w:p>
        </w:tc>
        <w:tc>
          <w:tcPr>
            <w:tcW w:type="dxa" w:w="7132"/>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szCs w:val="22"/>
              </w:rPr>
              <w:t>Stars</w:t>
            </w:r>
          </w:p>
        </w:tc>
      </w:tr>
    </w:tbl>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t>The following tables and figures show the number of approved proposal.</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191760" cy="15646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4"/>
                    <a:srcRect/>
                    <a:stretch>
                      <a:fillRect/>
                    </a:stretch>
                  </pic:blipFill>
                  <pic:spPr bwMode="auto">
                    <a:xfrm>
                      <a:off x="0" y="0"/>
                      <a:ext cx="5191760" cy="156464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191760" cy="15646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5"/>
                    <a:srcRect/>
                    <a:stretch>
                      <a:fillRect/>
                    </a:stretch>
                  </pic:blipFill>
                  <pic:spPr bwMode="auto">
                    <a:xfrm>
                      <a:off x="0" y="0"/>
                      <a:ext cx="5191760" cy="156464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191760" cy="15646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6"/>
                    <a:srcRect/>
                    <a:stretch>
                      <a:fillRect/>
                    </a:stretch>
                  </pic:blipFill>
                  <pic:spPr bwMode="auto">
                    <a:xfrm>
                      <a:off x="0" y="0"/>
                      <a:ext cx="5191760" cy="156464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046345" cy="29718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7"/>
                    <a:srcRect/>
                    <a:stretch>
                      <a:fillRect/>
                    </a:stretch>
                  </pic:blipFill>
                  <pic:spPr bwMode="auto">
                    <a:xfrm>
                      <a:off x="0" y="0"/>
                      <a:ext cx="5046345" cy="297180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ageBreakBefore/>
      </w:pPr>
      <w:r>
        <w:rPr>
          <w:rFonts w:ascii="Times New Roman" w:cs="Times New Roman" w:hAnsi="Times New Roman"/>
          <w:b/>
          <w:color w:val="365F91"/>
          <w:u w:val="single"/>
        </w:rPr>
      </w:r>
    </w:p>
    <w:p>
      <w:pPr>
        <w:pStyle w:val="style0"/>
      </w:pPr>
      <w:r>
        <w:rPr>
          <w:rFonts w:ascii="Calibri" w:cs="" w:hAnsi="Calibri"/>
          <w:b/>
          <w:bCs/>
          <w:i/>
          <w:iCs/>
          <w:color w:val="365F91"/>
        </w:rPr>
        <w:t>2) REFEREED PAPERS (2008-2013):</w:t>
      </w:r>
    </w:p>
    <w:p>
      <w:pPr>
        <w:pStyle w:val="style0"/>
      </w:pPr>
      <w:r>
        <w:rPr>
          <w:rFonts w:ascii="Calibri" w:cs="" w:hAnsi="Calibri"/>
          <w:b/>
          <w:bCs/>
          <w:i/>
          <w:iCs/>
          <w:color w:val="4F81BD"/>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SAO/NASA Astrophysics Data System (ADS)</w:t>
      </w:r>
    </w:p>
    <w:p>
      <w:pPr>
        <w:pStyle w:val="style0"/>
      </w:pPr>
      <w:r>
        <w:rPr>
          <w:rFonts w:ascii="Times New Roman" w:cs="Times New Roman" w:hAnsi="Times New Roman"/>
        </w:rPr>
        <w:tab/>
        <w:t>(query: "AGILE" string in the abstract)</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4216400" cy="10160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8"/>
                    <a:srcRect/>
                    <a:stretch>
                      <a:fillRect/>
                    </a:stretch>
                  </pic:blipFill>
                  <pic:spPr bwMode="auto">
                    <a:xfrm>
                      <a:off x="0" y="0"/>
                      <a:ext cx="4216400" cy="101600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b/>
          <w:u w:val="single"/>
        </w:rPr>
      </w:r>
    </w:p>
    <w:p>
      <w:pPr>
        <w:pStyle w:val="style1"/>
        <w:pageBreakBefore/>
      </w:pPr>
      <w:r>
        <w:rPr/>
        <w:t xml:space="preserve">Space facility  5 :  </w:t>
      </w:r>
      <w:r>
        <w:rPr>
          <w:u w:val="single"/>
        </w:rPr>
        <w:t>SWIFT</w:t>
      </w:r>
    </w:p>
    <w:p>
      <w:pPr>
        <w:pStyle w:val="style0"/>
      </w:pPr>
      <w:r>
        <w:rPr>
          <w:rFonts w:ascii="Times New Roman" w:cs="Times New Roman" w:hAnsi="Times New Roman"/>
        </w:rPr>
      </w:r>
    </w:p>
    <w:p>
      <w:pPr>
        <w:pStyle w:val="style0"/>
      </w:pPr>
      <w:r>
        <w:rPr>
          <w:rFonts w:ascii="Verdana" w:cs="Verdana" w:hAnsi="Verdana"/>
          <w:b/>
          <w:bCs/>
          <w:i/>
          <w:color w:val="091725"/>
        </w:rPr>
        <w:t>SWIFT observatory</w:t>
      </w:r>
    </w:p>
    <w:p>
      <w:pPr>
        <w:pStyle w:val="style0"/>
      </w:pPr>
      <w:r>
        <w:rPr>
          <w:rFonts w:ascii="Verdana" w:cs="Verdana" w:hAnsi="Verdana"/>
          <w:color w:val="091725"/>
        </w:rPr>
      </w:r>
    </w:p>
    <w:p>
      <w:pPr>
        <w:pStyle w:val="style0"/>
        <w:jc w:val="both"/>
      </w:pPr>
      <w:r>
        <w:rPr>
          <w:rFonts w:ascii="Times New Roman" w:cs="Times New Roman" w:hAnsi="Times New Roman"/>
        </w:rPr>
        <w:t>Launch: 2007</w:t>
      </w:r>
    </w:p>
    <w:p>
      <w:pPr>
        <w:pStyle w:val="style0"/>
        <w:jc w:val="both"/>
      </w:pPr>
      <w:r>
        <w:rPr>
          <w:rFonts w:ascii="Times New Roman" w:cs="Times New Roman" w:hAnsi="Times New Roman"/>
        </w:rPr>
        <w:t xml:space="preserve">The </w:t>
      </w:r>
      <w:r>
        <w:rPr>
          <w:rFonts w:ascii="Times New Roman" w:cs="Times New Roman" w:hAnsi="Times New Roman"/>
          <w:iCs/>
        </w:rPr>
        <w:t>Swift</w:t>
      </w:r>
      <w:r>
        <w:rPr>
          <w:rFonts w:ascii="Times New Roman" w:cs="Times New Roman" w:hAnsi="Times New Roman"/>
        </w:rPr>
        <w:t xml:space="preserve"> telescope payload is comprised of three instruments, which work in tandem to provide rapid identification and multi-wavelength follow-up of gamma-ray bursts (GRBs) and their afterglows.</w:t>
      </w:r>
      <w:r>
        <w:rPr/>
        <w:t xml:space="preserve"> The instruments are: i) the </w:t>
      </w:r>
      <w:r>
        <w:rPr>
          <w:rFonts w:ascii="Times New Roman" w:cs="Times New Roman" w:hAnsi="Times New Roman"/>
        </w:rPr>
        <w:t>Burst Alert Telescope (BAT) working in the range 15 - 150 keV; ii) the X-ray Telescope (XRT) observing in the range 0.3 - 10 keV and the UV/Optical Telescope (UVOT) to explore the UV (170 - 600 nm).</w:t>
      </w:r>
    </w:p>
    <w:p>
      <w:pPr>
        <w:pStyle w:val="style0"/>
        <w:jc w:val="both"/>
      </w:pPr>
      <w:r>
        <w:rPr>
          <w:rFonts w:ascii="Times New Roman" w:cs="Times New Roman" w:hAnsi="Times New Roman"/>
        </w:rPr>
        <w:t>Status: ongoing</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jc w:val="both"/>
      </w:pPr>
      <w:r>
        <w:rPr>
          <w:rFonts w:ascii="Times New Roman" w:cs="Times New Roman" w:hAnsi="Times New Roman"/>
        </w:rPr>
        <w:t>The specific policy of this mission prevents the statistics on the proposals. The data of the continuous survey of the sky are public and ready in the archive facility within few hours. Thus, the observations are immediately available to the astronomical community without any time requests.</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Calibri" w:cs="" w:hAnsi="Calibri"/>
          <w:b/>
          <w:bCs/>
          <w:i/>
          <w:iCs/>
          <w:color w:val="365F91"/>
        </w:rPr>
        <w:t>2) REFEREED PAPERS (2008-2013):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3"/>
        </w:numPr>
      </w:pPr>
      <w:r>
        <w:rPr>
          <w:rFonts w:ascii="Times New Roman" w:cs="Times New Roman" w:hAnsi="Times New Roman"/>
        </w:rPr>
        <w:t>SAO/NASA Astrophysics Data System (ADS)</w:t>
      </w:r>
    </w:p>
    <w:p>
      <w:pPr>
        <w:pStyle w:val="style0"/>
      </w:pPr>
      <w:r>
        <w:rPr>
          <w:rFonts w:ascii="Times New Roman" w:cs="Times New Roman" w:hAnsi="Times New Roman"/>
        </w:rPr>
        <w:tab/>
        <w:t>(query: "Swift" string in the abstract)</w:t>
      </w:r>
    </w:p>
    <w:p>
      <w:pPr>
        <w:pStyle w:val="style0"/>
      </w:pPr>
      <w:r>
        <w:rPr>
          <w:rFonts w:ascii="Times New Roman" w:cs="Times New Roman" w:hAnsi="Times New Roman"/>
        </w:rPr>
      </w:r>
    </w:p>
    <w:p>
      <w:pPr>
        <w:pStyle w:val="style0"/>
      </w:pPr>
      <w:r>
        <w:rPr/>
        <w:drawing>
          <wp:inline distB="0" distL="0" distR="0" distT="0">
            <wp:extent cx="5270500" cy="8153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9"/>
                    <a:srcRect/>
                    <a:stretch>
                      <a:fillRect/>
                    </a:stretch>
                  </pic:blipFill>
                  <pic:spPr bwMode="auto">
                    <a:xfrm>
                      <a:off x="0" y="0"/>
                      <a:ext cx="5270500" cy="81534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r>
    </w:p>
    <w:p>
      <w:pPr>
        <w:pStyle w:val="style1"/>
        <w:pageBreakBefore/>
      </w:pPr>
      <w:r>
        <w:rPr/>
        <w:t xml:space="preserve">Space facility  6 :  </w:t>
      </w:r>
      <w:r>
        <w:rPr>
          <w:u w:val="single"/>
        </w:rPr>
        <w:t>HERSCHEL</w:t>
      </w:r>
    </w:p>
    <w:p>
      <w:pPr>
        <w:pStyle w:val="style0"/>
      </w:pPr>
      <w:r>
        <w:rPr>
          <w:rFonts w:ascii="Times New Roman" w:cs="Times New Roman" w:hAnsi="Times New Roman"/>
        </w:rPr>
      </w:r>
    </w:p>
    <w:p>
      <w:pPr>
        <w:pStyle w:val="style0"/>
      </w:pPr>
      <w:r>
        <w:rPr>
          <w:rFonts w:ascii="Verdana" w:cs="Verdana" w:hAnsi="Verdana"/>
          <w:b/>
          <w:bCs/>
          <w:i/>
          <w:color w:val="091725"/>
        </w:rPr>
        <w:t>Herschel Space Observatory</w:t>
      </w:r>
    </w:p>
    <w:p>
      <w:pPr>
        <w:pStyle w:val="style0"/>
      </w:pPr>
      <w:r>
        <w:rPr>
          <w:rFonts w:ascii="Verdana" w:cs="Verdana" w:hAnsi="Verdana"/>
          <w:color w:val="091725"/>
        </w:rPr>
      </w:r>
    </w:p>
    <w:p>
      <w:pPr>
        <w:pStyle w:val="style0"/>
        <w:jc w:val="both"/>
      </w:pPr>
      <w:r>
        <w:rPr>
          <w:rFonts w:ascii="Times New Roman" w:cs="Times New Roman" w:hAnsi="Times New Roman"/>
        </w:rPr>
        <w:t>Launch: 2009</w:t>
      </w:r>
    </w:p>
    <w:p>
      <w:pPr>
        <w:pStyle w:val="style0"/>
        <w:jc w:val="both"/>
      </w:pPr>
      <w:r>
        <w:rPr>
          <w:rFonts w:ascii="Times New Roman" w:cs="Times New Roman" w:hAnsi="Times New Roman"/>
        </w:rPr>
        <w:t>The Herschel telescope is a Cassegrain design with a primary mirror diameter of 3.5m. The three scientific instruments are: HIFI (Heterodyne Instrument for the Far Infrared), a very high resolution heterodyne spectrometer;  PACS (Photodetector Array Camera and Spectrometer), an imaging photometer and medium resolution grating spectrometer and SPIRE (Spectral and Photometric Imaging Receiver), an imaging photometer and an imaging Fourier transform spectrometer. We acknowledge L. Calzoletti and A. Di Cecco (ASDC) for their help in the generation of the publication and proposal tables.</w:t>
      </w:r>
    </w:p>
    <w:p>
      <w:pPr>
        <w:pStyle w:val="style0"/>
        <w:jc w:val="both"/>
      </w:pPr>
      <w:r>
        <w:rPr>
          <w:rFonts w:ascii="Times New Roman" w:cs="Times New Roman" w:hAnsi="Times New Roman"/>
        </w:rPr>
        <w:t>Status: cryogenic phase concluded on 29 April 2013.</w:t>
      </w:r>
    </w:p>
    <w:p>
      <w:pPr>
        <w:pStyle w:val="style0"/>
      </w:pPr>
      <w:r>
        <w:rPr>
          <w:rFonts w:ascii="Times New Roman" w:cs="Times New Roman" w:hAnsi="Times New Roman"/>
          <w:color w:val="365F91"/>
        </w:rPr>
      </w:r>
    </w:p>
    <w:p>
      <w:pPr>
        <w:pStyle w:val="style0"/>
      </w:pPr>
      <w:r>
        <w:rPr>
          <w:rFonts w:ascii="Calibri" w:cs="" w:hAnsi="Calibri"/>
          <w:b/>
          <w:bCs/>
          <w:i/>
          <w:iCs/>
          <w:color w:val="365F91"/>
        </w:rPr>
        <w:t>1) ACCEPTED OBSERVING PROPOSALS (2008-2011):</w:t>
      </w:r>
    </w:p>
    <w:p>
      <w:pPr>
        <w:pStyle w:val="style0"/>
      </w:pPr>
      <w:r>
        <w:rPr>
          <w:color w:val="365F91"/>
        </w:rPr>
      </w:r>
    </w:p>
    <w:p>
      <w:pPr>
        <w:pStyle w:val="style0"/>
      </w:pPr>
      <w:r>
        <w:rPr/>
        <w:t>Origin of data:</w:t>
        <w:tab/>
      </w:r>
    </w:p>
    <w:p>
      <w:pPr>
        <w:pStyle w:val="style37"/>
        <w:numPr>
          <w:ilvl w:val="2"/>
          <w:numId w:val="3"/>
        </w:numPr>
      </w:pPr>
      <w:r>
        <w:rPr/>
        <w:t>HERSCHEL SCIENCE CENTRE (ESA)</w:t>
      </w:r>
    </w:p>
    <w:p>
      <w:pPr>
        <w:pStyle w:val="style0"/>
      </w:pPr>
      <w:r>
        <w:rPr/>
        <w:tab/>
        <w:tab/>
        <w:tab/>
        <w:t>(http://herschel.esac.esa.int/Key_Programmes.shtml)</w:t>
      </w:r>
    </w:p>
    <w:p>
      <w:pPr>
        <w:pStyle w:val="style0"/>
      </w:pPr>
      <w:r>
        <w:rPr/>
        <w:t xml:space="preserve"> </w:t>
      </w:r>
      <w:r>
        <w:rPr/>
        <w:tab/>
        <w:tab/>
        <w:tab/>
        <w:t>(http://herschel.esac.esa.int/AO-1_Programmes.shtml)</w:t>
      </w:r>
    </w:p>
    <w:p>
      <w:pPr>
        <w:pStyle w:val="style0"/>
      </w:pPr>
      <w:r>
        <w:rPr/>
        <w:t xml:space="preserve"> </w:t>
      </w:r>
      <w:r>
        <w:rPr/>
        <w:tab/>
        <w:tab/>
        <w:tab/>
        <w:t>(</w:t>
      </w:r>
      <w:hyperlink r:id="rId30">
        <w:r>
          <w:rPr>
            <w:rStyle w:val="style17"/>
          </w:rPr>
          <w:t>http://herschel.esac.esa.int/AO-2_Programmes.shtml</w:t>
        </w:r>
      </w:hyperlink>
      <w:r>
        <w:rPr/>
        <w:t>)</w:t>
      </w:r>
    </w:p>
    <w:p>
      <w:pPr>
        <w:pStyle w:val="style0"/>
      </w:pPr>
      <w:r>
        <w:rPr/>
      </w:r>
    </w:p>
    <w:p>
      <w:pPr>
        <w:pStyle w:val="style0"/>
        <w:jc w:val="both"/>
      </w:pPr>
      <w:r>
        <w:rPr>
          <w:i/>
        </w:rPr>
        <w:t>Note:</w:t>
      </w:r>
      <w:r>
        <w:rPr/>
        <w:t xml:space="preserve"> Several “Key Project” having non-Italian P.I.s shows a wide contribution of the Italian astronomical community. As a matter of fact, the Italian contribution is particularly relevant for the following categories "Cosmology", "Galaxies/AGNs" e "ISM/Star formation", although the number of Italian PIs is limited. As a consequence, the actual Italian contribution to accepted proposals, evaluated with the present criteria (P.I. nationality), is quite underestimated for these categories.</w:t>
      </w:r>
    </w:p>
    <w:p>
      <w:pPr>
        <w:pStyle w:val="style0"/>
      </w:pPr>
      <w:r>
        <w:rPr/>
      </w:r>
    </w:p>
    <w:tbl>
      <w:tblPr>
        <w:jc w:val="left"/>
        <w:tblInd w:type="dxa" w:w="-108"/>
        <w:tblBorders/>
      </w:tblPr>
      <w:tblGrid>
        <w:gridCol w:w="1526"/>
        <w:gridCol w:w="3117"/>
      </w:tblGrid>
      <w:tr>
        <w:trPr>
          <w:trHeight w:hRule="atLeast" w:val="300"/>
          <w:cantSplit w:val="false"/>
        </w:trPr>
        <w:tc>
          <w:tcPr>
            <w:tcW w:type="dxa" w:w="1526"/>
            <w:tcBorders/>
            <w:shd w:fill="auto" w:val="clear"/>
            <w:tcMar>
              <w:top w:type="dxa" w:w="0"/>
              <w:left w:type="dxa" w:w="108"/>
              <w:bottom w:type="dxa" w:w="0"/>
              <w:right w:type="dxa" w:w="108"/>
            </w:tcMar>
          </w:tcPr>
          <w:p>
            <w:pPr>
              <w:pStyle w:val="style0"/>
            </w:pPr>
            <w:r>
              <w:rPr>
                <w:bCs/>
                <w:szCs w:val="22"/>
              </w:rPr>
              <w:t>Categories:</w:t>
            </w:r>
          </w:p>
        </w:tc>
        <w:tc>
          <w:tcPr>
            <w:tcW w:type="dxa" w:w="3117"/>
            <w:tcBorders/>
            <w:shd w:fill="auto" w:val="clear"/>
            <w:tcMar>
              <w:top w:type="dxa" w:w="0"/>
              <w:left w:type="dxa" w:w="108"/>
              <w:bottom w:type="dxa" w:w="0"/>
              <w:right w:type="dxa" w:w="108"/>
            </w:tcMar>
          </w:tcPr>
          <w:p>
            <w:pPr>
              <w:pStyle w:val="style0"/>
            </w:pPr>
            <w:r>
              <w:rPr>
                <w:bCs/>
                <w:szCs w:val="22"/>
              </w:rPr>
            </w:r>
          </w:p>
        </w:tc>
      </w:tr>
      <w:tr>
        <w:trPr>
          <w:trHeight w:hRule="atLeast" w:val="300"/>
          <w:cantSplit w:val="false"/>
        </w:trPr>
        <w:tc>
          <w:tcPr>
            <w:tcW w:type="dxa" w:w="1526"/>
            <w:tcBorders/>
            <w:shd w:fill="auto" w:val="clear"/>
            <w:tcMar>
              <w:top w:type="dxa" w:w="0"/>
              <w:left w:type="dxa" w:w="108"/>
              <w:bottom w:type="dxa" w:w="0"/>
              <w:right w:type="dxa" w:w="108"/>
            </w:tcMar>
          </w:tcPr>
          <w:p>
            <w:pPr>
              <w:pStyle w:val="style0"/>
            </w:pPr>
            <w:r>
              <w:rPr>
                <w:bCs/>
                <w:szCs w:val="22"/>
              </w:rPr>
            </w:r>
          </w:p>
        </w:tc>
        <w:tc>
          <w:tcPr>
            <w:tcW w:type="dxa" w:w="3117"/>
            <w:tcBorders/>
            <w:shd w:fill="auto" w:val="clear"/>
            <w:tcMar>
              <w:top w:type="dxa" w:w="0"/>
              <w:left w:type="dxa" w:w="108"/>
              <w:bottom w:type="dxa" w:w="0"/>
              <w:right w:type="dxa" w:w="108"/>
            </w:tcMar>
            <w:vAlign w:val="bottom"/>
          </w:tcPr>
          <w:p>
            <w:pPr>
              <w:pStyle w:val="style0"/>
            </w:pPr>
            <w:r>
              <w:rPr>
                <w:rFonts w:cs="Arial" w:eastAsia="Times New Roman"/>
                <w:szCs w:val="22"/>
              </w:rPr>
              <w:t>Cosmology</w:t>
            </w:r>
          </w:p>
        </w:tc>
      </w:tr>
      <w:tr>
        <w:trPr>
          <w:trHeight w:hRule="atLeast" w:val="300"/>
          <w:cantSplit w:val="false"/>
        </w:trPr>
        <w:tc>
          <w:tcPr>
            <w:tcW w:type="dxa" w:w="1526"/>
            <w:tcBorders/>
            <w:shd w:fill="auto" w:val="clear"/>
            <w:tcMar>
              <w:top w:type="dxa" w:w="0"/>
              <w:left w:type="dxa" w:w="108"/>
              <w:bottom w:type="dxa" w:w="0"/>
              <w:right w:type="dxa" w:w="108"/>
            </w:tcMar>
          </w:tcPr>
          <w:p>
            <w:pPr>
              <w:pStyle w:val="style0"/>
            </w:pPr>
            <w:r>
              <w:rPr>
                <w:bCs/>
                <w:szCs w:val="22"/>
              </w:rPr>
            </w:r>
          </w:p>
        </w:tc>
        <w:tc>
          <w:tcPr>
            <w:tcW w:type="dxa" w:w="3117"/>
            <w:tcBorders/>
            <w:shd w:fill="auto" w:val="clear"/>
            <w:tcMar>
              <w:top w:type="dxa" w:w="0"/>
              <w:left w:type="dxa" w:w="108"/>
              <w:bottom w:type="dxa" w:w="0"/>
              <w:right w:type="dxa" w:w="108"/>
            </w:tcMar>
            <w:vAlign w:val="bottom"/>
          </w:tcPr>
          <w:p>
            <w:pPr>
              <w:pStyle w:val="style0"/>
            </w:pPr>
            <w:r>
              <w:rPr>
                <w:rFonts w:cs="Arial" w:eastAsia="Times New Roman"/>
                <w:szCs w:val="22"/>
              </w:rPr>
              <w:t>Galaxies/AGNs</w:t>
            </w:r>
          </w:p>
        </w:tc>
      </w:tr>
      <w:tr>
        <w:trPr>
          <w:trHeight w:hRule="atLeast" w:val="300"/>
          <w:cantSplit w:val="false"/>
        </w:trPr>
        <w:tc>
          <w:tcPr>
            <w:tcW w:type="dxa" w:w="1526"/>
            <w:tcBorders/>
            <w:shd w:fill="auto" w:val="clear"/>
            <w:tcMar>
              <w:top w:type="dxa" w:w="0"/>
              <w:left w:type="dxa" w:w="108"/>
              <w:bottom w:type="dxa" w:w="0"/>
              <w:right w:type="dxa" w:w="108"/>
            </w:tcMar>
          </w:tcPr>
          <w:p>
            <w:pPr>
              <w:pStyle w:val="style0"/>
            </w:pPr>
            <w:r>
              <w:rPr>
                <w:bCs/>
                <w:szCs w:val="22"/>
              </w:rPr>
            </w:r>
          </w:p>
        </w:tc>
        <w:tc>
          <w:tcPr>
            <w:tcW w:type="dxa" w:w="3117"/>
            <w:tcBorders/>
            <w:shd w:fill="auto" w:val="clear"/>
            <w:tcMar>
              <w:top w:type="dxa" w:w="0"/>
              <w:left w:type="dxa" w:w="108"/>
              <w:bottom w:type="dxa" w:w="0"/>
              <w:right w:type="dxa" w:w="108"/>
            </w:tcMar>
            <w:vAlign w:val="bottom"/>
          </w:tcPr>
          <w:p>
            <w:pPr>
              <w:pStyle w:val="style0"/>
            </w:pPr>
            <w:r>
              <w:rPr>
                <w:rFonts w:cs="Arial" w:eastAsia="Times New Roman"/>
                <w:szCs w:val="22"/>
              </w:rPr>
              <w:t>ISM/Star formation</w:t>
            </w:r>
          </w:p>
        </w:tc>
      </w:tr>
      <w:tr>
        <w:trPr>
          <w:trHeight w:hRule="atLeast" w:val="300"/>
          <w:cantSplit w:val="false"/>
        </w:trPr>
        <w:tc>
          <w:tcPr>
            <w:tcW w:type="dxa" w:w="1526"/>
            <w:tcBorders/>
            <w:shd w:fill="auto" w:val="clear"/>
            <w:tcMar>
              <w:top w:type="dxa" w:w="0"/>
              <w:left w:type="dxa" w:w="108"/>
              <w:bottom w:type="dxa" w:w="0"/>
              <w:right w:type="dxa" w:w="108"/>
            </w:tcMar>
          </w:tcPr>
          <w:p>
            <w:pPr>
              <w:pStyle w:val="style0"/>
            </w:pPr>
            <w:r>
              <w:rPr>
                <w:bCs/>
                <w:szCs w:val="22"/>
              </w:rPr>
            </w:r>
          </w:p>
        </w:tc>
        <w:tc>
          <w:tcPr>
            <w:tcW w:type="dxa" w:w="3117"/>
            <w:tcBorders/>
            <w:shd w:fill="auto" w:val="clear"/>
            <w:tcMar>
              <w:top w:type="dxa" w:w="0"/>
              <w:left w:type="dxa" w:w="108"/>
              <w:bottom w:type="dxa" w:w="0"/>
              <w:right w:type="dxa" w:w="108"/>
            </w:tcMar>
            <w:vAlign w:val="bottom"/>
          </w:tcPr>
          <w:p>
            <w:pPr>
              <w:pStyle w:val="style0"/>
            </w:pPr>
            <w:r>
              <w:rPr>
                <w:rFonts w:cs="Arial" w:eastAsia="Times New Roman"/>
                <w:szCs w:val="22"/>
              </w:rPr>
              <w:t>Solar System</w:t>
            </w:r>
          </w:p>
        </w:tc>
      </w:tr>
      <w:tr>
        <w:trPr>
          <w:trHeight w:hRule="atLeast" w:val="300"/>
          <w:cantSplit w:val="false"/>
        </w:trPr>
        <w:tc>
          <w:tcPr>
            <w:tcW w:type="dxa" w:w="1526"/>
            <w:tcBorders/>
            <w:shd w:fill="auto" w:val="clear"/>
            <w:tcMar>
              <w:top w:type="dxa" w:w="0"/>
              <w:left w:type="dxa" w:w="108"/>
              <w:bottom w:type="dxa" w:w="0"/>
              <w:right w:type="dxa" w:w="108"/>
            </w:tcMar>
          </w:tcPr>
          <w:p>
            <w:pPr>
              <w:pStyle w:val="style0"/>
            </w:pPr>
            <w:r>
              <w:rPr>
                <w:bCs/>
                <w:szCs w:val="22"/>
              </w:rPr>
            </w:r>
          </w:p>
        </w:tc>
        <w:tc>
          <w:tcPr>
            <w:tcW w:type="dxa" w:w="3117"/>
            <w:tcBorders/>
            <w:shd w:fill="auto" w:val="clear"/>
            <w:tcMar>
              <w:top w:type="dxa" w:w="0"/>
              <w:left w:type="dxa" w:w="108"/>
              <w:bottom w:type="dxa" w:w="0"/>
              <w:right w:type="dxa" w:w="108"/>
            </w:tcMar>
            <w:vAlign w:val="bottom"/>
          </w:tcPr>
          <w:p>
            <w:pPr>
              <w:pStyle w:val="style0"/>
            </w:pPr>
            <w:r>
              <w:rPr>
                <w:rFonts w:cs="Arial" w:eastAsia="Times New Roman"/>
                <w:szCs w:val="22"/>
              </w:rPr>
              <w:t>Star Formation</w:t>
            </w:r>
          </w:p>
        </w:tc>
      </w:tr>
      <w:tr>
        <w:trPr>
          <w:trHeight w:hRule="atLeast" w:val="300"/>
          <w:cantSplit w:val="false"/>
        </w:trPr>
        <w:tc>
          <w:tcPr>
            <w:tcW w:type="dxa" w:w="1526"/>
            <w:tcBorders/>
            <w:shd w:fill="auto" w:val="clear"/>
            <w:tcMar>
              <w:top w:type="dxa" w:w="0"/>
              <w:left w:type="dxa" w:w="108"/>
              <w:bottom w:type="dxa" w:w="0"/>
              <w:right w:type="dxa" w:w="108"/>
            </w:tcMar>
          </w:tcPr>
          <w:p>
            <w:pPr>
              <w:pStyle w:val="style0"/>
            </w:pPr>
            <w:r>
              <w:rPr>
                <w:bCs/>
                <w:szCs w:val="22"/>
              </w:rPr>
            </w:r>
          </w:p>
        </w:tc>
        <w:tc>
          <w:tcPr>
            <w:tcW w:type="dxa" w:w="3117"/>
            <w:tcBorders/>
            <w:shd w:fill="auto" w:val="clear"/>
            <w:tcMar>
              <w:top w:type="dxa" w:w="0"/>
              <w:left w:type="dxa" w:w="108"/>
              <w:bottom w:type="dxa" w:w="0"/>
              <w:right w:type="dxa" w:w="108"/>
            </w:tcMar>
            <w:vAlign w:val="bottom"/>
          </w:tcPr>
          <w:p>
            <w:pPr>
              <w:pStyle w:val="style0"/>
            </w:pPr>
            <w:r>
              <w:rPr>
                <w:rFonts w:cs="Arial" w:eastAsia="Times New Roman"/>
                <w:szCs w:val="22"/>
              </w:rPr>
              <w:t>Stars</w:t>
            </w:r>
          </w:p>
        </w:tc>
      </w:tr>
    </w:tbl>
    <w:p>
      <w:pPr>
        <w:pStyle w:val="style0"/>
      </w:pPr>
      <w:r>
        <w:rPr>
          <w:rFonts w:ascii="Times New Roman" w:cs="Times New Roman" w:hAnsi="Times New Roman"/>
        </w:rPr>
      </w:r>
    </w:p>
    <w:p>
      <w:pPr>
        <w:pStyle w:val="style0"/>
      </w:pPr>
      <w:r>
        <w:rPr>
          <w:rFonts w:ascii="Times New Roman" w:cs="Times New Roman" w:hAnsi="Times New Roman"/>
        </w:rPr>
        <w:t>The following tables and figures show the data on the allocated observing time (hours).</w:t>
      </w:r>
    </w:p>
    <w:p>
      <w:pPr>
        <w:pStyle w:val="style0"/>
      </w:pPr>
      <w:r>
        <w:rPr/>
      </w:r>
    </w:p>
    <w:p>
      <w:pPr>
        <w:pStyle w:val="style0"/>
      </w:pPr>
      <w:r>
        <w:rPr/>
        <w:drawing>
          <wp:inline distB="0" distL="0" distR="0" distT="0">
            <wp:extent cx="4673600" cy="12598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1"/>
                    <a:srcRect/>
                    <a:stretch>
                      <a:fillRect/>
                    </a:stretch>
                  </pic:blipFill>
                  <pic:spPr bwMode="auto">
                    <a:xfrm>
                      <a:off x="0" y="0"/>
                      <a:ext cx="4673600" cy="125984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4673600" cy="12801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2"/>
                    <a:srcRect/>
                    <a:stretch>
                      <a:fillRect/>
                    </a:stretch>
                  </pic:blipFill>
                  <pic:spPr bwMode="auto">
                    <a:xfrm>
                      <a:off x="0" y="0"/>
                      <a:ext cx="4673600" cy="128016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4673600" cy="12598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3"/>
                    <a:srcRect/>
                    <a:stretch>
                      <a:fillRect/>
                    </a:stretch>
                  </pic:blipFill>
                  <pic:spPr bwMode="auto">
                    <a:xfrm>
                      <a:off x="0" y="0"/>
                      <a:ext cx="4673600" cy="1259840"/>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drawing>
          <wp:inline distB="0" distL="0" distR="0" distT="0">
            <wp:extent cx="4246245" cy="11176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4"/>
                    <a:srcRect/>
                    <a:stretch>
                      <a:fillRect/>
                    </a:stretch>
                  </pic:blipFill>
                  <pic:spPr bwMode="auto">
                    <a:xfrm>
                      <a:off x="0" y="0"/>
                      <a:ext cx="4246245" cy="111760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5270500" cy="31546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5"/>
                    <a:srcRect/>
                    <a:stretch>
                      <a:fillRect/>
                    </a:stretch>
                  </pic:blipFill>
                  <pic:spPr bwMode="auto">
                    <a:xfrm>
                      <a:off x="0" y="0"/>
                      <a:ext cx="5270500" cy="315468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5270500" cy="27584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6"/>
                    <a:srcRect/>
                    <a:stretch>
                      <a:fillRect/>
                    </a:stretch>
                  </pic:blipFill>
                  <pic:spPr bwMode="auto">
                    <a:xfrm>
                      <a:off x="0" y="0"/>
                      <a:ext cx="5270500" cy="275844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5270500" cy="346138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7"/>
                    <a:srcRect/>
                    <a:stretch>
                      <a:fillRect/>
                    </a:stretch>
                  </pic:blipFill>
                  <pic:spPr bwMode="auto">
                    <a:xfrm>
                      <a:off x="0" y="0"/>
                      <a:ext cx="5270500" cy="3461385"/>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4451350" cy="25146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8"/>
                    <a:srcRect/>
                    <a:stretch>
                      <a:fillRect/>
                    </a:stretch>
                  </pic:blipFill>
                  <pic:spPr bwMode="auto">
                    <a:xfrm>
                      <a:off x="0" y="0"/>
                      <a:ext cx="4451350" cy="2514600"/>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r>
    </w:p>
    <w:p>
      <w:pPr>
        <w:pStyle w:val="style0"/>
      </w:pPr>
      <w:r>
        <w:rPr/>
      </w:r>
    </w:p>
    <w:p>
      <w:pPr>
        <w:pStyle w:val="style0"/>
        <w:pageBreakBefore/>
      </w:pPr>
      <w:r>
        <w:rPr>
          <w:rFonts w:ascii="Calibri" w:cs="" w:hAnsi="Calibri"/>
          <w:b/>
          <w:bCs/>
          <w:i/>
          <w:iCs/>
          <w:color w:val="365F91"/>
        </w:rPr>
        <w:t>2) REFEREED PAPERS (2008-2013):</w:t>
      </w:r>
    </w:p>
    <w:p>
      <w:pPr>
        <w:pStyle w:val="style0"/>
      </w:pPr>
      <w:r>
        <w:rPr>
          <w:color w:val="365F91"/>
        </w:rPr>
      </w:r>
    </w:p>
    <w:p>
      <w:pPr>
        <w:pStyle w:val="style0"/>
      </w:pPr>
      <w:r>
        <w:rPr/>
        <w:t>Origin of data:</w:t>
      </w:r>
    </w:p>
    <w:p>
      <w:pPr>
        <w:pStyle w:val="style37"/>
        <w:numPr>
          <w:ilvl w:val="2"/>
          <w:numId w:val="3"/>
        </w:numPr>
      </w:pPr>
      <w:r>
        <w:rPr/>
        <w:t>HERSCHEL SCIENCE CENTRE (ESA)</w:t>
      </w:r>
    </w:p>
    <w:p>
      <w:pPr>
        <w:pStyle w:val="style0"/>
      </w:pPr>
      <w:r>
        <w:rPr/>
        <w:tab/>
        <w:tab/>
        <w:tab/>
        <w:t>(herschel.esac.esa.int/hpt/publicationlist.do)</w:t>
      </w:r>
    </w:p>
    <w:p>
      <w:pPr>
        <w:pStyle w:val="style0"/>
      </w:pPr>
      <w:r>
        <w:rPr/>
      </w:r>
    </w:p>
    <w:p>
      <w:pPr>
        <w:pStyle w:val="style0"/>
      </w:pPr>
      <w:r>
        <w:rPr/>
      </w:r>
    </w:p>
    <w:p>
      <w:pPr>
        <w:pStyle w:val="style0"/>
      </w:pPr>
      <w:r>
        <w:rPr/>
        <w:drawing>
          <wp:inline distB="0" distL="0" distR="0" distT="0">
            <wp:extent cx="5270500" cy="94107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9"/>
                    <a:srcRect/>
                    <a:stretch>
                      <a:fillRect/>
                    </a:stretch>
                  </pic:blipFill>
                  <pic:spPr bwMode="auto">
                    <a:xfrm>
                      <a:off x="0" y="0"/>
                      <a:ext cx="5270500" cy="941070"/>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r>
    </w:p>
    <w:p>
      <w:pPr>
        <w:pStyle w:val="style0"/>
      </w:pPr>
      <w:r>
        <w:rPr/>
      </w:r>
    </w:p>
    <w:p>
      <w:pPr>
        <w:pStyle w:val="style0"/>
      </w:pPr>
      <w:r>
        <w:rPr/>
      </w:r>
    </w:p>
    <w:p>
      <w:pPr>
        <w:pStyle w:val="style1"/>
      </w:pPr>
      <w:r>
        <w:rPr/>
        <w:t xml:space="preserve">Space facility  7 :  </w:t>
      </w:r>
      <w:r>
        <w:rPr>
          <w:u w:val="single"/>
        </w:rPr>
        <w:t>HST</w:t>
      </w:r>
    </w:p>
    <w:p>
      <w:pPr>
        <w:pStyle w:val="style0"/>
      </w:pPr>
      <w:r>
        <w:rPr>
          <w:rFonts w:ascii="Times New Roman" w:cs="Times New Roman" w:hAnsi="Times New Roman"/>
        </w:rPr>
      </w:r>
    </w:p>
    <w:p>
      <w:pPr>
        <w:pStyle w:val="style0"/>
      </w:pPr>
      <w:r>
        <w:rPr>
          <w:rFonts w:ascii="Verdana" w:cs="Verdana" w:hAnsi="Verdana"/>
          <w:b/>
          <w:bCs/>
          <w:i/>
          <w:color w:val="091725"/>
        </w:rPr>
        <w:t>Hubble Space Telescope</w:t>
      </w:r>
    </w:p>
    <w:p>
      <w:pPr>
        <w:pStyle w:val="style0"/>
      </w:pPr>
      <w:r>
        <w:rPr>
          <w:rFonts w:ascii="Verdana" w:cs="Verdana" w:hAnsi="Verdana"/>
          <w:color w:val="091725"/>
        </w:rPr>
      </w:r>
    </w:p>
    <w:p>
      <w:pPr>
        <w:pStyle w:val="style0"/>
        <w:jc w:val="both"/>
      </w:pPr>
      <w:r>
        <w:rPr>
          <w:rFonts w:ascii="Times New Roman" w:cs="Times New Roman" w:hAnsi="Times New Roman"/>
        </w:rPr>
        <w:t>Launch: 1990</w:t>
      </w:r>
    </w:p>
    <w:p>
      <w:pPr>
        <w:pStyle w:val="style0"/>
        <w:jc w:val="both"/>
      </w:pPr>
      <w:r>
        <w:rPr>
          <w:rFonts w:ascii="Times New Roman" w:cs="Times New Roman" w:hAnsi="Times New Roman"/>
        </w:rPr>
        <w:t xml:space="preserve">The Hubble Space Telescope (HST) is a collaboration between the European Space Agency (ESA) and the National Aeronautics and Space Administration (NASA). HST is a 2.4-meter reflecting telescope currently equipped with the following instruments: </w:t>
      </w:r>
    </w:p>
    <w:p>
      <w:pPr>
        <w:pStyle w:val="style0"/>
        <w:jc w:val="both"/>
      </w:pPr>
      <w:r>
        <w:rPr>
          <w:rFonts w:ascii="Times New Roman" w:cs="Times New Roman" w:hAnsi="Times New Roman"/>
        </w:rPr>
        <w:t>ACS: Advanced Camera for Surveys</w:t>
      </w:r>
    </w:p>
    <w:p>
      <w:pPr>
        <w:pStyle w:val="style0"/>
        <w:jc w:val="both"/>
      </w:pPr>
      <w:r>
        <w:rPr>
          <w:rFonts w:ascii="Times New Roman" w:cs="Times New Roman" w:hAnsi="Times New Roman"/>
        </w:rPr>
        <w:t>COS: Cosmic Origins Spectrograph (4</w:t>
      </w:r>
      <w:r>
        <w:rPr>
          <w:rFonts w:ascii="Times New Roman" w:cs="Times New Roman" w:hAnsi="Times New Roman"/>
          <w:vertAlign w:val="superscript"/>
        </w:rPr>
        <w:t>th</w:t>
      </w:r>
      <w:r>
        <w:rPr>
          <w:rFonts w:ascii="Times New Roman" w:cs="Times New Roman" w:hAnsi="Times New Roman"/>
        </w:rPr>
        <w:t xml:space="preserve"> generation instrument)</w:t>
      </w:r>
    </w:p>
    <w:p>
      <w:pPr>
        <w:pStyle w:val="style0"/>
        <w:jc w:val="both"/>
      </w:pPr>
      <w:r>
        <w:rPr>
          <w:rFonts w:ascii="Times New Roman" w:cs="Times New Roman" w:hAnsi="Times New Roman"/>
        </w:rPr>
        <w:t>FGS: The Fine Guidance Sensors</w:t>
      </w:r>
    </w:p>
    <w:p>
      <w:pPr>
        <w:pStyle w:val="style0"/>
        <w:jc w:val="both"/>
      </w:pPr>
      <w:r>
        <w:rPr>
          <w:rFonts w:ascii="Times New Roman" w:cs="Times New Roman" w:hAnsi="Times New Roman"/>
        </w:rPr>
        <w:t>NICMOS: Near Infrared Camera and Multi Object Spectrometer</w:t>
      </w:r>
    </w:p>
    <w:p>
      <w:pPr>
        <w:pStyle w:val="style0"/>
        <w:jc w:val="both"/>
      </w:pPr>
      <w:r>
        <w:rPr>
          <w:rFonts w:ascii="Times New Roman" w:cs="Times New Roman" w:hAnsi="Times New Roman"/>
        </w:rPr>
        <w:t>STIS: Space Telescope Imaging Spectrograph</w:t>
      </w:r>
    </w:p>
    <w:p>
      <w:pPr>
        <w:pStyle w:val="style0"/>
        <w:jc w:val="both"/>
      </w:pPr>
      <w:r>
        <w:rPr>
          <w:rFonts w:ascii="Times New Roman" w:cs="Times New Roman" w:hAnsi="Times New Roman"/>
        </w:rPr>
        <w:t>WFC3: Wide Field Camera 3 (4</w:t>
      </w:r>
      <w:r>
        <w:rPr>
          <w:rFonts w:ascii="Times New Roman" w:cs="Times New Roman" w:hAnsi="Times New Roman"/>
          <w:vertAlign w:val="superscript"/>
        </w:rPr>
        <w:t>th</w:t>
      </w:r>
      <w:r>
        <w:rPr>
          <w:rFonts w:ascii="Times New Roman" w:cs="Times New Roman" w:hAnsi="Times New Roman"/>
        </w:rPr>
        <w:t xml:space="preserve"> generation instrument)</w:t>
      </w:r>
    </w:p>
    <w:p>
      <w:pPr>
        <w:pStyle w:val="style0"/>
        <w:jc w:val="both"/>
      </w:pPr>
      <w:r>
        <w:rPr>
          <w:rFonts w:ascii="Times New Roman" w:cs="Times New Roman" w:hAnsi="Times New Roman"/>
        </w:rPr>
      </w:r>
    </w:p>
    <w:p>
      <w:pPr>
        <w:pStyle w:val="style0"/>
        <w:jc w:val="both"/>
      </w:pPr>
      <w:r>
        <w:rPr>
          <w:rFonts w:ascii="Times New Roman" w:cs="Times New Roman" w:hAnsi="Times New Roman"/>
        </w:rPr>
        <w:t>Status: ongoing</w:t>
      </w:r>
    </w:p>
    <w:p>
      <w:pPr>
        <w:pStyle w:val="style0"/>
      </w:pPr>
      <w:r>
        <w:rPr>
          <w:rFonts w:ascii="Times New Roman" w:cs="Times New Roman" w:hAnsi="Times New Roman"/>
          <w:color w:val="365F91"/>
        </w:rPr>
      </w:r>
    </w:p>
    <w:p>
      <w:pPr>
        <w:pStyle w:val="style0"/>
      </w:pPr>
      <w:r>
        <w:rPr>
          <w:rFonts w:ascii="Calibri" w:cs="" w:hAnsi="Calibri"/>
          <w:b/>
          <w:bCs/>
          <w:i/>
          <w:iCs/>
          <w:color w:val="365F91"/>
        </w:rPr>
        <w:t>1) ACCEPTED OBSERVING PROPOSALS (2008-2011):</w:t>
      </w:r>
    </w:p>
    <w:p>
      <w:pPr>
        <w:pStyle w:val="style0"/>
      </w:pPr>
      <w:r>
        <w:rPr/>
      </w:r>
    </w:p>
    <w:p>
      <w:pPr>
        <w:pStyle w:val="style0"/>
      </w:pPr>
      <w:r>
        <w:rPr/>
        <w:t>Origin of data:</w:t>
      </w:r>
    </w:p>
    <w:p>
      <w:pPr>
        <w:pStyle w:val="style0"/>
      </w:pPr>
      <w:r>
        <w:rPr/>
      </w:r>
    </w:p>
    <w:p>
      <w:pPr>
        <w:pStyle w:val="style37"/>
        <w:numPr>
          <w:ilvl w:val="2"/>
          <w:numId w:val="3"/>
        </w:numPr>
      </w:pPr>
      <w:r>
        <w:rPr/>
        <w:t>SPACE TELESCOPE SCIENCE INSTITUTE</w:t>
      </w:r>
    </w:p>
    <w:p>
      <w:pPr>
        <w:pStyle w:val="style0"/>
        <w:ind w:firstLine="372" w:left="1788" w:right="0"/>
      </w:pPr>
      <w:r>
        <w:rPr/>
        <w:t>(http://www.stsci.edu/hst/proposing/)</w:t>
      </w:r>
    </w:p>
    <w:p>
      <w:pPr>
        <w:pStyle w:val="style0"/>
      </w:pPr>
      <w:r>
        <w:rPr/>
      </w:r>
    </w:p>
    <w:p>
      <w:pPr>
        <w:pStyle w:val="style0"/>
      </w:pPr>
      <w:r>
        <w:rPr/>
      </w:r>
    </w:p>
    <w:tbl>
      <w:tblPr>
        <w:jc w:val="center"/>
        <w:tblBorders/>
      </w:tblPr>
      <w:tblGrid>
        <w:gridCol w:w="1391"/>
        <w:gridCol w:w="6815"/>
      </w:tblGrid>
      <w:tr>
        <w:trPr>
          <w:trHeight w:hRule="atLeast" w:val="305"/>
          <w:cantSplit w:val="false"/>
        </w:trPr>
        <w:tc>
          <w:tcPr>
            <w:tcW w:type="dxa" w:w="1391"/>
            <w:tcBorders/>
            <w:shd w:fill="auto" w:val="clear"/>
            <w:tcMar>
              <w:top w:type="dxa" w:w="0"/>
              <w:left w:type="dxa" w:w="108"/>
              <w:bottom w:type="dxa" w:w="0"/>
              <w:right w:type="dxa" w:w="108"/>
            </w:tcMar>
          </w:tcPr>
          <w:p>
            <w:pPr>
              <w:pStyle w:val="style0"/>
            </w:pPr>
            <w:r>
              <w:rPr>
                <w:b/>
                <w:bCs/>
                <w:szCs w:val="22"/>
              </w:rPr>
              <w:t>Categories</w:t>
            </w:r>
          </w:p>
        </w:tc>
        <w:tc>
          <w:tcPr>
            <w:tcW w:type="dxa" w:w="6815"/>
            <w:tcBorders/>
            <w:shd w:fill="auto" w:val="clear"/>
            <w:tcMar>
              <w:top w:type="dxa" w:w="0"/>
              <w:left w:type="dxa" w:w="108"/>
              <w:bottom w:type="dxa" w:w="0"/>
              <w:right w:type="dxa" w:w="108"/>
            </w:tcMar>
          </w:tcPr>
          <w:p>
            <w:pPr>
              <w:pStyle w:val="style0"/>
            </w:pPr>
            <w:r>
              <w:rPr>
                <w:bCs/>
                <w:szCs w:val="22"/>
              </w:rPr>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AGN</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Active Galactic Nuclei/Quasars</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COS</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Cosmology</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 xml:space="preserve">CS </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Cool Stars</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EXO</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Extra-Solar Planets</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HS</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Hot Stars</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IEG</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ISM in External Galaxies</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ISM</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ISM and Circumstellar Matter</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QAL</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Quasar Absorption Lines and IGM</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RSP</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Resolved Stellar Population</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SF</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Star Formation</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SS</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Solar System</w:t>
            </w:r>
          </w:p>
        </w:tc>
      </w:tr>
      <w:tr>
        <w:trPr>
          <w:trHeight w:hRule="atLeast" w:val="305"/>
          <w:cantSplit w:val="false"/>
        </w:trPr>
        <w:tc>
          <w:tcPr>
            <w:tcW w:type="dxa" w:w="1391"/>
            <w:tcBorders/>
            <w:shd w:fill="auto" w:val="clear"/>
            <w:tcMar>
              <w:top w:type="dxa" w:w="0"/>
              <w:left w:type="dxa" w:w="108"/>
              <w:bottom w:type="dxa" w:w="0"/>
              <w:right w:type="dxa" w:w="108"/>
            </w:tcMar>
            <w:vAlign w:val="bottom"/>
          </w:tcPr>
          <w:p>
            <w:pPr>
              <w:pStyle w:val="style0"/>
            </w:pPr>
            <w:r>
              <w:rPr>
                <w:rFonts w:cs="Arial" w:eastAsia="Times New Roman"/>
              </w:rPr>
              <w:t>USP</w:t>
            </w:r>
          </w:p>
        </w:tc>
        <w:tc>
          <w:tcPr>
            <w:tcW w:type="dxa" w:w="6815"/>
            <w:tcBorders/>
            <w:shd w:fill="auto" w:val="clear"/>
            <w:tcMar>
              <w:top w:type="dxa" w:w="0"/>
              <w:left w:type="dxa" w:w="108"/>
              <w:bottom w:type="dxa" w:w="0"/>
              <w:right w:type="dxa" w:w="108"/>
            </w:tcMar>
            <w:vAlign w:val="bottom"/>
          </w:tcPr>
          <w:p>
            <w:pPr>
              <w:pStyle w:val="style0"/>
            </w:pPr>
            <w:r>
              <w:rPr>
                <w:rFonts w:cs="Arial" w:eastAsia="Times New Roman"/>
              </w:rPr>
              <w:t>Unresolved Stellar Population and Galaxy Structure</w:t>
            </w:r>
          </w:p>
        </w:tc>
      </w:tr>
    </w:tbl>
    <w:p>
      <w:pPr>
        <w:pStyle w:val="style0"/>
      </w:pPr>
      <w:r>
        <w:rPr/>
      </w:r>
    </w:p>
    <w:p>
      <w:pPr>
        <w:pStyle w:val="style0"/>
      </w:pPr>
      <w:r>
        <w:rPr>
          <w:rFonts w:ascii="Times New Roman" w:cs="Times New Roman" w:hAnsi="Times New Roman"/>
        </w:rPr>
        <w:t>The following tables and figures show the number of the approved proposals.</w:t>
      </w:r>
    </w:p>
    <w:p>
      <w:pPr>
        <w:pStyle w:val="style0"/>
      </w:pPr>
      <w:r>
        <w:rPr/>
      </w:r>
    </w:p>
    <w:p>
      <w:pPr>
        <w:pStyle w:val="style0"/>
      </w:pPr>
      <w:r>
        <w:rPr/>
        <w:drawing>
          <wp:inline distB="0" distL="0" distR="0" distT="0">
            <wp:extent cx="3393440" cy="23260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0"/>
                    <a:srcRect/>
                    <a:stretch>
                      <a:fillRect/>
                    </a:stretch>
                  </pic:blipFill>
                  <pic:spPr bwMode="auto">
                    <a:xfrm>
                      <a:off x="0" y="0"/>
                      <a:ext cx="3393440" cy="2326005"/>
                    </a:xfrm>
                    <a:prstGeom prst="rect">
                      <a:avLst/>
                    </a:prstGeom>
                    <a:noFill/>
                    <a:ln w="9525">
                      <a:noFill/>
                      <a:miter lim="800000"/>
                      <a:headEnd/>
                      <a:tailEnd/>
                    </a:ln>
                  </pic:spPr>
                </pic:pic>
              </a:graphicData>
            </a:graphic>
          </wp:inline>
        </w:drawing>
      </w:r>
    </w:p>
    <w:p>
      <w:pPr>
        <w:pStyle w:val="style0"/>
      </w:pPr>
      <w:r>
        <w:rPr/>
      </w:r>
    </w:p>
    <w:tbl>
      <w:tblPr>
        <w:jc w:val="left"/>
        <w:tblInd w:type="dxa" w:w="1"/>
        <w:tblBorders/>
      </w:tblPr>
      <w:tblGrid>
        <w:gridCol w:w="2095"/>
        <w:gridCol w:w="1296"/>
        <w:gridCol w:w="661"/>
        <w:gridCol w:w="661"/>
        <w:gridCol w:w="687"/>
      </w:tblGrid>
      <w:tr>
        <w:trPr>
          <w:trHeight w:hRule="atLeast" w:val="240"/>
          <w:cantSplit w:val="false"/>
        </w:trPr>
        <w:tc>
          <w:tcPr>
            <w:tcW w:type="dxa" w:w="2095"/>
            <w:tcBorders/>
            <w:shd w:fill="76933C" w:val="clear"/>
            <w:tcMar>
              <w:top w:type="dxa" w:w="0"/>
              <w:left w:type="dxa" w:w="108"/>
              <w:bottom w:type="dxa" w:w="0"/>
              <w:right w:type="dxa" w:w="108"/>
            </w:tcMar>
            <w:vAlign w:val="bottom"/>
          </w:tcPr>
          <w:p>
            <w:pPr>
              <w:pStyle w:val="style0"/>
            </w:pPr>
            <w:r>
              <w:rPr>
                <w:rFonts w:ascii="Arial" w:cs="Arial" w:eastAsia="Times New Roman" w:hAnsi="Arial"/>
                <w:b/>
                <w:bCs/>
                <w:sz w:val="20"/>
                <w:szCs w:val="20"/>
              </w:rPr>
              <w:t>Italy</w:t>
            </w:r>
          </w:p>
        </w:tc>
        <w:tc>
          <w:tcPr>
            <w:tcW w:type="dxa" w:w="1296"/>
            <w:tcBorders/>
            <w:shd w:fill="76933C" w:val="clear"/>
            <w:tcMar>
              <w:top w:type="dxa" w:w="0"/>
              <w:left w:type="dxa" w:w="108"/>
              <w:bottom w:type="dxa" w:w="0"/>
              <w:right w:type="dxa" w:w="108"/>
            </w:tcMar>
            <w:vAlign w:val="bottom"/>
          </w:tcPr>
          <w:p>
            <w:pPr>
              <w:pStyle w:val="style0"/>
            </w:pPr>
            <w:r>
              <w:rPr>
                <w:rFonts w:ascii="Arial" w:cs="Arial" w:eastAsia="Times New Roman" w:hAnsi="Arial"/>
                <w:b/>
                <w:bCs/>
                <w:sz w:val="20"/>
                <w:szCs w:val="20"/>
              </w:rPr>
              <w:t> </w:t>
            </w:r>
          </w:p>
        </w:tc>
        <w:tc>
          <w:tcPr>
            <w:tcW w:type="dxa" w:w="661"/>
            <w:tcBorders/>
            <w:shd w:fill="76933C" w:val="clear"/>
            <w:tcMar>
              <w:top w:type="dxa" w:w="0"/>
              <w:left w:type="dxa" w:w="108"/>
              <w:bottom w:type="dxa" w:w="0"/>
              <w:right w:type="dxa" w:w="108"/>
            </w:tcMar>
            <w:vAlign w:val="bottom"/>
          </w:tcPr>
          <w:p>
            <w:pPr>
              <w:pStyle w:val="style0"/>
            </w:pPr>
            <w:r>
              <w:rPr>
                <w:rFonts w:ascii="Arial" w:cs="Arial" w:eastAsia="Times New Roman" w:hAnsi="Arial"/>
                <w:b/>
                <w:bCs/>
                <w:sz w:val="20"/>
                <w:szCs w:val="20"/>
              </w:rPr>
              <w:t> </w:t>
            </w:r>
          </w:p>
        </w:tc>
        <w:tc>
          <w:tcPr>
            <w:tcW w:type="dxa" w:w="661"/>
            <w:tcBorders/>
            <w:shd w:fill="76933C" w:val="clear"/>
            <w:tcMar>
              <w:top w:type="dxa" w:w="0"/>
              <w:left w:type="dxa" w:w="108"/>
              <w:bottom w:type="dxa" w:w="0"/>
              <w:right w:type="dxa" w:w="108"/>
            </w:tcMar>
            <w:vAlign w:val="bottom"/>
          </w:tcPr>
          <w:p>
            <w:pPr>
              <w:pStyle w:val="style0"/>
            </w:pPr>
            <w:r>
              <w:rPr>
                <w:rFonts w:ascii="Arial" w:cs="Arial" w:eastAsia="Times New Roman" w:hAnsi="Arial"/>
                <w:b/>
                <w:bCs/>
                <w:sz w:val="20"/>
                <w:szCs w:val="20"/>
              </w:rPr>
              <w:t> </w:t>
            </w:r>
          </w:p>
        </w:tc>
        <w:tc>
          <w:tcPr>
            <w:tcW w:type="dxa" w:w="687"/>
            <w:tcBorders/>
            <w:shd w:fill="76933C" w:val="clear"/>
            <w:tcMar>
              <w:top w:type="dxa" w:w="0"/>
              <w:left w:type="dxa" w:w="108"/>
              <w:bottom w:type="dxa" w:w="0"/>
              <w:right w:type="dxa" w:w="108"/>
            </w:tcMar>
            <w:vAlign w:val="bottom"/>
          </w:tcPr>
          <w:p>
            <w:pPr>
              <w:pStyle w:val="style0"/>
            </w:pPr>
            <w:r>
              <w:rPr>
                <w:rFonts w:ascii="Arial" w:cs="Arial" w:eastAsia="Times New Roman" w:hAnsi="Arial"/>
                <w:b/>
                <w:bCs/>
                <w:sz w:val="20"/>
                <w:szCs w:val="20"/>
              </w:rPr>
              <w:t> </w:t>
            </w:r>
          </w:p>
        </w:tc>
      </w:tr>
      <w:tr>
        <w:trPr>
          <w:trHeight w:hRule="atLeast" w:val="240"/>
          <w:cantSplit w:val="false"/>
        </w:trPr>
        <w:tc>
          <w:tcPr>
            <w:tcW w:type="dxa" w:w="2095"/>
            <w:tcBorders/>
            <w:shd w:fill="76933C" w:val="clear"/>
            <w:tcMar>
              <w:top w:type="dxa" w:w="0"/>
              <w:left w:type="dxa" w:w="108"/>
              <w:bottom w:type="dxa" w:w="0"/>
              <w:right w:type="dxa" w:w="108"/>
            </w:tcMar>
            <w:vAlign w:val="bottom"/>
          </w:tcPr>
          <w:p>
            <w:pPr>
              <w:pStyle w:val="style0"/>
            </w:pPr>
            <w:r>
              <w:rPr>
                <w:rFonts w:ascii="Arial" w:cs="Arial" w:eastAsia="Times New Roman" w:hAnsi="Arial"/>
                <w:b/>
                <w:bCs/>
                <w:sz w:val="20"/>
                <w:szCs w:val="20"/>
              </w:rPr>
              <w:t> </w:t>
            </w:r>
          </w:p>
        </w:tc>
        <w:tc>
          <w:tcPr>
            <w:tcW w:type="dxa" w:w="1296"/>
            <w:tcBorders/>
            <w:shd w:fill="76933C" w:val="clear"/>
            <w:tcMar>
              <w:top w:type="dxa" w:w="0"/>
              <w:left w:type="dxa" w:w="108"/>
              <w:bottom w:type="dxa" w:w="0"/>
              <w:right w:type="dxa" w:w="108"/>
            </w:tcMar>
            <w:vAlign w:val="bottom"/>
          </w:tcPr>
          <w:p>
            <w:pPr>
              <w:pStyle w:val="style0"/>
              <w:jc w:val="right"/>
            </w:pPr>
            <w:r>
              <w:rPr>
                <w:rFonts w:ascii="Arial" w:cs="Arial" w:eastAsia="Times New Roman" w:hAnsi="Arial"/>
                <w:b/>
                <w:bCs/>
                <w:sz w:val="20"/>
                <w:szCs w:val="20"/>
              </w:rPr>
              <w:t>2011</w:t>
            </w:r>
          </w:p>
        </w:tc>
        <w:tc>
          <w:tcPr>
            <w:tcW w:type="dxa" w:w="661"/>
            <w:tcBorders/>
            <w:shd w:fill="76933C" w:val="clear"/>
            <w:tcMar>
              <w:top w:type="dxa" w:w="0"/>
              <w:left w:type="dxa" w:w="108"/>
              <w:bottom w:type="dxa" w:w="0"/>
              <w:right w:type="dxa" w:w="108"/>
            </w:tcMar>
            <w:vAlign w:val="bottom"/>
          </w:tcPr>
          <w:p>
            <w:pPr>
              <w:pStyle w:val="style0"/>
              <w:jc w:val="right"/>
            </w:pPr>
            <w:r>
              <w:rPr>
                <w:rFonts w:ascii="Arial" w:cs="Arial" w:eastAsia="Times New Roman" w:hAnsi="Arial"/>
                <w:b/>
                <w:bCs/>
                <w:sz w:val="20"/>
                <w:szCs w:val="20"/>
              </w:rPr>
              <w:t>2012</w:t>
            </w:r>
          </w:p>
        </w:tc>
        <w:tc>
          <w:tcPr>
            <w:tcW w:type="dxa" w:w="661"/>
            <w:tcBorders/>
            <w:shd w:fill="76933C" w:val="clear"/>
            <w:tcMar>
              <w:top w:type="dxa" w:w="0"/>
              <w:left w:type="dxa" w:w="108"/>
              <w:bottom w:type="dxa" w:w="0"/>
              <w:right w:type="dxa" w:w="108"/>
            </w:tcMar>
            <w:vAlign w:val="bottom"/>
          </w:tcPr>
          <w:p>
            <w:pPr>
              <w:pStyle w:val="style0"/>
              <w:jc w:val="right"/>
            </w:pPr>
            <w:r>
              <w:rPr>
                <w:rFonts w:ascii="Arial" w:cs="Arial" w:eastAsia="Times New Roman" w:hAnsi="Arial"/>
                <w:b/>
                <w:bCs/>
                <w:sz w:val="20"/>
                <w:szCs w:val="20"/>
              </w:rPr>
              <w:t>2013</w:t>
            </w:r>
          </w:p>
        </w:tc>
        <w:tc>
          <w:tcPr>
            <w:tcW w:type="dxa" w:w="687"/>
            <w:tcBorders/>
            <w:shd w:fill="76933C" w:val="clear"/>
            <w:tcMar>
              <w:top w:type="dxa" w:w="0"/>
              <w:left w:type="dxa" w:w="108"/>
              <w:bottom w:type="dxa" w:w="0"/>
              <w:right w:type="dxa" w:w="108"/>
            </w:tcMar>
            <w:vAlign w:val="bottom"/>
          </w:tcPr>
          <w:p>
            <w:pPr>
              <w:pStyle w:val="style0"/>
            </w:pPr>
            <w:r>
              <w:rPr>
                <w:rFonts w:ascii="Arial" w:cs="Arial" w:eastAsia="Times New Roman" w:hAnsi="Arial"/>
                <w:b/>
                <w:bCs/>
                <w:sz w:val="20"/>
                <w:szCs w:val="20"/>
              </w:rPr>
              <w:t>Total</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AGN</w:t>
            </w:r>
          </w:p>
        </w:tc>
        <w:tc>
          <w:tcPr>
            <w:tcW w:type="dxa" w:w="1296"/>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top w:color="EBF1DE" w:space="0" w:sz="4" w:val="single"/>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COS</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CS</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EXO</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HS</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2</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2</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4</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IEG</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ISM</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QAL</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RSP</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3</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3</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2</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8</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SF</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4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SS</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0</w:t>
            </w:r>
          </w:p>
        </w:tc>
      </w:tr>
      <w:tr>
        <w:trPr>
          <w:trHeight w:hRule="atLeast" w:val="260"/>
          <w:cantSplit w:val="false"/>
        </w:trPr>
        <w:tc>
          <w:tcPr>
            <w:tcW w:type="dxa" w:w="2095"/>
            <w:tcBorders/>
            <w:shd w:fill="FFFFFF" w:val="clear"/>
            <w:tcMar>
              <w:top w:type="dxa" w:w="0"/>
              <w:left w:type="dxa" w:w="108"/>
              <w:bottom w:type="dxa" w:w="0"/>
              <w:right w:type="dxa" w:w="108"/>
            </w:tcMar>
            <w:vAlign w:val="bottom"/>
          </w:tcPr>
          <w:p>
            <w:pPr>
              <w:pStyle w:val="style0"/>
            </w:pPr>
            <w:r>
              <w:rPr>
                <w:rFonts w:ascii="Arial" w:cs="Arial" w:eastAsia="Times New Roman" w:hAnsi="Arial"/>
                <w:sz w:val="20"/>
                <w:szCs w:val="20"/>
              </w:rPr>
              <w:t>USP</w:t>
            </w:r>
          </w:p>
        </w:tc>
        <w:tc>
          <w:tcPr>
            <w:tcW w:type="dxa" w:w="1296"/>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pPr>
            <w:r>
              <w:rPr>
                <w:rFonts w:ascii="Arial" w:cs="Arial" w:eastAsia="Times New Roman" w:hAnsi="Arial"/>
                <w:color w:val="000000"/>
                <w:sz w:val="20"/>
                <w:szCs w:val="20"/>
              </w:rPr>
              <w:t> </w:t>
            </w:r>
          </w:p>
        </w:tc>
        <w:tc>
          <w:tcPr>
            <w:tcW w:type="dxa" w:w="661"/>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1</w:t>
            </w:r>
          </w:p>
        </w:tc>
        <w:tc>
          <w:tcPr>
            <w:tcW w:type="dxa" w:w="687"/>
            <w:tcBorders>
              <w:bottom w:color="EBF1DE" w:space="0" w:sz="4" w:val="sing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color w:val="000000"/>
                <w:sz w:val="20"/>
                <w:szCs w:val="20"/>
              </w:rPr>
              <w:t>1</w:t>
            </w:r>
          </w:p>
        </w:tc>
      </w:tr>
      <w:tr>
        <w:trPr>
          <w:trHeight w:hRule="atLeast" w:val="260"/>
          <w:cantSplit w:val="false"/>
        </w:trPr>
        <w:tc>
          <w:tcPr>
            <w:tcW w:type="dxa" w:w="2095"/>
            <w:tcBorders>
              <w:top w:color="76933C" w:space="0" w:sz="17" w:val="double"/>
            </w:tcBorders>
            <w:shd w:fill="FFFFFF" w:val="clear"/>
            <w:tcMar>
              <w:top w:type="dxa" w:w="0"/>
              <w:left w:type="dxa" w:w="108"/>
              <w:bottom w:type="dxa" w:w="0"/>
              <w:right w:type="dxa" w:w="108"/>
            </w:tcMar>
            <w:vAlign w:val="bottom"/>
          </w:tcPr>
          <w:p>
            <w:pPr>
              <w:pStyle w:val="style0"/>
            </w:pPr>
            <w:r>
              <w:rPr>
                <w:rFonts w:ascii="Arial" w:cs="Arial" w:eastAsia="Times New Roman" w:hAnsi="Arial"/>
                <w:b/>
                <w:bCs/>
                <w:color w:val="000000"/>
                <w:sz w:val="20"/>
                <w:szCs w:val="20"/>
              </w:rPr>
              <w:t>Total</w:t>
            </w:r>
          </w:p>
        </w:tc>
        <w:tc>
          <w:tcPr>
            <w:tcW w:type="dxa" w:w="1296"/>
            <w:tcBorders>
              <w:top w:color="76933C" w:space="0" w:sz="17" w:val="doub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b/>
                <w:bCs/>
                <w:color w:val="000000"/>
                <w:sz w:val="20"/>
                <w:szCs w:val="20"/>
              </w:rPr>
              <w:t>3</w:t>
            </w:r>
          </w:p>
        </w:tc>
        <w:tc>
          <w:tcPr>
            <w:tcW w:type="dxa" w:w="661"/>
            <w:tcBorders>
              <w:top w:color="76933C" w:space="0" w:sz="17" w:val="doub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b/>
                <w:bCs/>
                <w:color w:val="000000"/>
                <w:sz w:val="20"/>
                <w:szCs w:val="20"/>
              </w:rPr>
              <w:t>5</w:t>
            </w:r>
          </w:p>
        </w:tc>
        <w:tc>
          <w:tcPr>
            <w:tcW w:type="dxa" w:w="661"/>
            <w:tcBorders>
              <w:top w:color="76933C" w:space="0" w:sz="17" w:val="doub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b/>
                <w:bCs/>
                <w:color w:val="000000"/>
                <w:sz w:val="20"/>
                <w:szCs w:val="20"/>
              </w:rPr>
              <w:t>5</w:t>
            </w:r>
          </w:p>
        </w:tc>
        <w:tc>
          <w:tcPr>
            <w:tcW w:type="dxa" w:w="687"/>
            <w:tcBorders>
              <w:top w:color="76933C" w:space="0" w:sz="17" w:val="double"/>
            </w:tcBorders>
            <w:shd w:fill="FFFFFF" w:val="clear"/>
            <w:tcMar>
              <w:top w:type="dxa" w:w="0"/>
              <w:left w:type="dxa" w:w="108"/>
              <w:bottom w:type="dxa" w:w="0"/>
              <w:right w:type="dxa" w:w="108"/>
            </w:tcMar>
            <w:vAlign w:val="bottom"/>
          </w:tcPr>
          <w:p>
            <w:pPr>
              <w:pStyle w:val="style0"/>
              <w:jc w:val="right"/>
            </w:pPr>
            <w:r>
              <w:rPr>
                <w:rFonts w:ascii="Arial" w:cs="Arial" w:eastAsia="Times New Roman" w:hAnsi="Arial"/>
                <w:b/>
                <w:bCs/>
                <w:color w:val="000000"/>
                <w:sz w:val="20"/>
                <w:szCs w:val="20"/>
              </w:rPr>
              <w:t>13</w:t>
            </w:r>
          </w:p>
        </w:tc>
      </w:tr>
    </w:tbl>
    <w:p>
      <w:pPr>
        <w:pStyle w:val="style0"/>
      </w:pPr>
      <w:r>
        <w:rPr/>
      </w:r>
    </w:p>
    <w:p>
      <w:pPr>
        <w:pStyle w:val="style0"/>
      </w:pPr>
      <w:r>
        <w:rPr/>
        <w:drawing>
          <wp:inline distB="0" distL="0" distR="0" distT="0">
            <wp:extent cx="3393440" cy="23260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1"/>
                    <a:srcRect/>
                    <a:stretch>
                      <a:fillRect/>
                    </a:stretch>
                  </pic:blipFill>
                  <pic:spPr bwMode="auto">
                    <a:xfrm>
                      <a:off x="0" y="0"/>
                      <a:ext cx="3393440" cy="2326005"/>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t>Due to the quite low number of the approved proposals, it is also shown the similar ratio for Uk, Germany and France.</w:t>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ageBreakBefore/>
      </w:pPr>
      <w:r>
        <w:rPr/>
      </w:r>
    </w:p>
    <w:p>
      <w:pPr>
        <w:pStyle w:val="style0"/>
      </w:pPr>
      <w:r>
        <w:rPr/>
      </w:r>
    </w:p>
    <w:p>
      <w:pPr>
        <w:pStyle w:val="style0"/>
      </w:pPr>
      <w:r>
        <w:rPr>
          <w:rFonts w:ascii="Calibri" w:cs="" w:hAnsi="Calibri"/>
          <w:b/>
          <w:bCs/>
          <w:i/>
          <w:iCs/>
          <w:color w:val="365F91"/>
        </w:rPr>
        <w:t>2) REFEREED PAPERS (2008-2013):</w:t>
      </w:r>
    </w:p>
    <w:p>
      <w:pPr>
        <w:pStyle w:val="style0"/>
      </w:pPr>
      <w:r>
        <w:rPr/>
      </w:r>
    </w:p>
    <w:p>
      <w:pPr>
        <w:pStyle w:val="style0"/>
      </w:pPr>
      <w:r>
        <w:rPr/>
        <w:t>Origin of data:</w:t>
      </w:r>
    </w:p>
    <w:p>
      <w:pPr>
        <w:pStyle w:val="style0"/>
      </w:pPr>
      <w:r>
        <w:rPr/>
      </w:r>
    </w:p>
    <w:p>
      <w:pPr>
        <w:pStyle w:val="style37"/>
        <w:numPr>
          <w:ilvl w:val="2"/>
          <w:numId w:val="3"/>
        </w:numPr>
      </w:pPr>
      <w:r>
        <w:rPr/>
        <w:t>SAO/NASA Astrophysics Data System (ADS)</w:t>
      </w:r>
    </w:p>
    <w:p>
      <w:pPr>
        <w:pStyle w:val="style0"/>
      </w:pPr>
      <w:r>
        <w:rPr/>
        <w:tab/>
        <w:tab/>
        <w:tab/>
        <w:t>(query: "Hubble" string in the abstract)</w:t>
      </w:r>
    </w:p>
    <w:p>
      <w:pPr>
        <w:pStyle w:val="style0"/>
      </w:pPr>
      <w:r>
        <w:rPr/>
      </w:r>
    </w:p>
    <w:p>
      <w:pPr>
        <w:pStyle w:val="style0"/>
      </w:pPr>
      <w:r>
        <w:rPr/>
        <w:drawing>
          <wp:inline distB="0" distL="0" distR="0" distT="0">
            <wp:extent cx="4815840" cy="9956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2"/>
                    <a:srcRect/>
                    <a:stretch>
                      <a:fillRect/>
                    </a:stretch>
                  </pic:blipFill>
                  <pic:spPr bwMode="auto">
                    <a:xfrm>
                      <a:off x="0" y="0"/>
                      <a:ext cx="4815840" cy="995680"/>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1"/>
      </w:pPr>
      <w:r>
        <w:rPr/>
        <w:t xml:space="preserve">Space facility  8 :  </w:t>
      </w:r>
      <w:r>
        <w:rPr>
          <w:u w:val="single"/>
        </w:rPr>
        <w:t>CHANDRA</w:t>
      </w:r>
    </w:p>
    <w:p>
      <w:pPr>
        <w:pStyle w:val="style0"/>
      </w:pPr>
      <w:r>
        <w:rPr>
          <w:rFonts w:ascii="Times New Roman" w:cs="Times New Roman" w:hAnsi="Times New Roman"/>
        </w:rPr>
      </w:r>
    </w:p>
    <w:p>
      <w:pPr>
        <w:pStyle w:val="style0"/>
      </w:pPr>
      <w:r>
        <w:rPr>
          <w:rFonts w:ascii="Verdana" w:cs="Verdana" w:hAnsi="Verdana"/>
          <w:b/>
          <w:bCs/>
          <w:i/>
          <w:color w:val="091725"/>
        </w:rPr>
        <w:t>CHANDRA Space Observatory</w:t>
      </w:r>
    </w:p>
    <w:p>
      <w:pPr>
        <w:pStyle w:val="style0"/>
      </w:pPr>
      <w:r>
        <w:rPr>
          <w:rFonts w:ascii="Verdana" w:cs="Verdana" w:hAnsi="Verdana"/>
          <w:color w:val="091725"/>
        </w:rPr>
      </w:r>
    </w:p>
    <w:p>
      <w:pPr>
        <w:pStyle w:val="style0"/>
        <w:jc w:val="both"/>
      </w:pPr>
      <w:r>
        <w:rPr>
          <w:rFonts w:ascii="Times New Roman" w:cs="Times New Roman" w:hAnsi="Times New Roman"/>
        </w:rPr>
        <w:t>Launch: 1999</w:t>
      </w:r>
    </w:p>
    <w:p>
      <w:pPr>
        <w:pStyle w:val="style0"/>
        <w:jc w:val="both"/>
      </w:pPr>
      <w:r>
        <w:rPr>
          <w:rFonts w:ascii="Times New Roman" w:cs="Times New Roman" w:hAnsi="Times New Roman"/>
        </w:rPr>
        <w:t>The Chandra X-ray Observatory (CXO) is designed for high resolution (≤ 1/2 arcsec) X-ray imaging and spectroscopy. The High Resolution Mirror Assembly (HRMA) focuses X-rays onto one of two instruments, Advanced CCD Imaging Spectrometer (ACIS) or High Resolution Camera (HRC). The HRC energy range (0.06-10 keV) extends below that of ACIS, (0.08-10 keV) and the field-of-view are 31x31 arcmin  (HRC) and 16x16 arcmin (ACIS). Two high-resolution spectrograph are also available i) the  High Energy Transmission Grating (HETG) is optimized for high-resolution spectroscopy of bright sources over the energy band 0.4-10 keV.</w:t>
      </w:r>
      <w:r>
        <w:rPr/>
        <w:t xml:space="preserve"> </w:t>
      </w:r>
      <w:r>
        <w:rPr>
          <w:rFonts w:ascii="Times New Roman" w:cs="Times New Roman" w:hAnsi="Times New Roman"/>
        </w:rPr>
        <w:t xml:space="preserve">The Low Energy Transmission Grating (LETG) provides the highest spectral resolving power (E/ΔE &gt; 1000) on Chandra at low energies (0.07 - 0.2 keV). </w:t>
      </w:r>
    </w:p>
    <w:p>
      <w:pPr>
        <w:pStyle w:val="style0"/>
        <w:jc w:val="both"/>
      </w:pPr>
      <w:r>
        <w:rPr>
          <w:rFonts w:ascii="Times New Roman" w:cs="Times New Roman" w:hAnsi="Times New Roman"/>
        </w:rPr>
        <w:t>Status: ongoing</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Calibri" w:cs="" w:hAnsi="Calibri"/>
          <w:b/>
          <w:bCs/>
          <w:i/>
          <w:iCs/>
          <w:color w:val="365F91"/>
        </w:rPr>
        <w:t>1) ACCEPTED OBSERVING PROPOSALS (2009-2013):</w:t>
      </w:r>
    </w:p>
    <w:p>
      <w:pPr>
        <w:pStyle w:val="style0"/>
      </w:pPr>
      <w:r>
        <w:rPr/>
      </w:r>
    </w:p>
    <w:p>
      <w:pPr>
        <w:pStyle w:val="style0"/>
      </w:pPr>
      <w:r>
        <w:rPr/>
        <w:t>Origin of data:</w:t>
      </w:r>
    </w:p>
    <w:p>
      <w:pPr>
        <w:pStyle w:val="style0"/>
      </w:pPr>
      <w:r>
        <w:rPr/>
      </w:r>
    </w:p>
    <w:p>
      <w:pPr>
        <w:pStyle w:val="style37"/>
        <w:numPr>
          <w:ilvl w:val="0"/>
          <w:numId w:val="3"/>
        </w:numPr>
      </w:pPr>
      <w:r>
        <w:rPr/>
        <w:t>"CHANMASTER" DATABASE (NASA - HEASARC)</w:t>
      </w:r>
    </w:p>
    <w:p>
      <w:pPr>
        <w:pStyle w:val="style0"/>
      </w:pPr>
      <w:r>
        <w:rPr/>
        <w:tab/>
        <w:t>(http://heasarc.gsfc.nasa.gov/W3Browse/chandra/chanmaster.html)</w:t>
      </w:r>
    </w:p>
    <w:p>
      <w:pPr>
        <w:pStyle w:val="style37"/>
        <w:numPr>
          <w:ilvl w:val="0"/>
          <w:numId w:val="3"/>
        </w:numPr>
      </w:pPr>
      <w:r>
        <w:rPr/>
        <w:t>Chandra X-Ray Center (CXC)</w:t>
      </w:r>
    </w:p>
    <w:p>
      <w:pPr>
        <w:pStyle w:val="style0"/>
      </w:pPr>
      <w:r>
        <w:rPr/>
        <w:tab/>
        <w:t>(http://cxc.harvard.edu/target_lists/index.html)</w:t>
      </w:r>
    </w:p>
    <w:p>
      <w:pPr>
        <w:pStyle w:val="style0"/>
      </w:pPr>
      <w:r>
        <w:rPr/>
      </w:r>
    </w:p>
    <w:p>
      <w:pPr>
        <w:pStyle w:val="style0"/>
      </w:pPr>
      <w:r>
        <w:rPr/>
      </w:r>
    </w:p>
    <w:p>
      <w:pPr>
        <w:pStyle w:val="style0"/>
      </w:pPr>
      <w:r>
        <w:rPr/>
      </w:r>
    </w:p>
    <w:tbl>
      <w:tblPr>
        <w:jc w:val="left"/>
        <w:tblInd w:type="dxa" w:w="-108"/>
        <w:tblBorders/>
      </w:tblPr>
      <w:tblGrid>
        <w:gridCol w:w="1210"/>
        <w:gridCol w:w="7305"/>
      </w:tblGrid>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rPr>
              <w:t>Categories:</w:t>
            </w:r>
          </w:p>
        </w:tc>
        <w:tc>
          <w:tcPr>
            <w:tcW w:type="dxa" w:w="7305"/>
            <w:tcBorders/>
            <w:shd w:fill="auto" w:val="clear"/>
            <w:tcMar>
              <w:top w:type="dxa" w:w="0"/>
              <w:left w:type="dxa" w:w="108"/>
              <w:bottom w:type="dxa" w:w="0"/>
              <w:right w:type="dxa" w:w="108"/>
            </w:tcMar>
          </w:tcPr>
          <w:p>
            <w:pPr>
              <w:pStyle w:val="style0"/>
            </w:pPr>
            <w:r>
              <w:rPr>
                <w:bCs/>
                <w:szCs w:val="22"/>
              </w:rPr>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Active galaxies and quasars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BH and NS binaries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ExtraGalactic diffuse emission and surveys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Galactic diffuse emission and surveys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Normal galaxies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SN, SNR and isolated NS</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Solar System</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Stars and WD</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WD binaries and CV</w:t>
            </w:r>
          </w:p>
        </w:tc>
      </w:tr>
      <w:tr>
        <w:trPr>
          <w:trHeight w:hRule="atLeast" w:val="300"/>
          <w:cantSplit w:val="false"/>
        </w:trPr>
        <w:tc>
          <w:tcPr>
            <w:tcW w:type="dxa" w:w="1210"/>
            <w:tcBorders/>
            <w:shd w:fill="auto" w:val="clear"/>
            <w:tcMar>
              <w:top w:type="dxa" w:w="0"/>
              <w:left w:type="dxa" w:w="108"/>
              <w:bottom w:type="dxa" w:w="0"/>
              <w:right w:type="dxa" w:w="108"/>
            </w:tcMar>
          </w:tcPr>
          <w:p>
            <w:pPr>
              <w:pStyle w:val="style0"/>
            </w:pPr>
            <w:r>
              <w:rPr>
                <w:bCs/>
                <w:szCs w:val="22"/>
                <w:shd w:fill="FFFF00" w:val="clear"/>
              </w:rPr>
            </w:r>
          </w:p>
        </w:tc>
        <w:tc>
          <w:tcPr>
            <w:tcW w:type="dxa" w:w="7305"/>
            <w:tcBorders/>
            <w:shd w:fill="auto" w:val="clear"/>
            <w:tcMar>
              <w:top w:type="dxa" w:w="0"/>
              <w:left w:type="dxa" w:w="108"/>
              <w:bottom w:type="dxa" w:w="0"/>
              <w:right w:type="dxa" w:w="108"/>
            </w:tcMar>
            <w:vAlign w:val="bottom"/>
          </w:tcPr>
          <w:p>
            <w:pPr>
              <w:pStyle w:val="style0"/>
            </w:pPr>
            <w:r>
              <w:rPr>
                <w:rFonts w:cs="Arial" w:eastAsia="Times New Roman"/>
              </w:rPr>
              <w:t>Cluster of galaxies</w:t>
            </w:r>
          </w:p>
        </w:tc>
      </w:tr>
    </w:tbl>
    <w:p>
      <w:pPr>
        <w:pStyle w:val="style0"/>
      </w:pPr>
      <w:r>
        <w:rPr/>
      </w:r>
    </w:p>
    <w:p>
      <w:pPr>
        <w:pStyle w:val="style0"/>
      </w:pPr>
      <w:r>
        <w:rPr>
          <w:rFonts w:ascii="Times New Roman" w:cs="Times New Roman" w:hAnsi="Times New Roman"/>
        </w:rPr>
        <w:t>The following tables and figures show the data on the allocated observing time (ks).</w:t>
      </w:r>
    </w:p>
    <w:p>
      <w:pPr>
        <w:pStyle w:val="style0"/>
      </w:pPr>
      <w:r>
        <w:rPr/>
      </w:r>
    </w:p>
    <w:p>
      <w:pPr>
        <w:pStyle w:val="style0"/>
      </w:pPr>
      <w:r>
        <w:rPr/>
        <w:drawing>
          <wp:inline distB="0" distL="0" distR="0" distT="0">
            <wp:extent cx="5270500" cy="57931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3"/>
                    <a:srcRect/>
                    <a:stretch>
                      <a:fillRect/>
                    </a:stretch>
                  </pic:blipFill>
                  <pic:spPr bwMode="auto">
                    <a:xfrm>
                      <a:off x="0" y="0"/>
                      <a:ext cx="5270500" cy="5793105"/>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drawing>
          <wp:inline distB="0" distL="0" distR="0" distT="0">
            <wp:extent cx="5270500" cy="413448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4"/>
                    <a:srcRect/>
                    <a:stretch>
                      <a:fillRect/>
                    </a:stretch>
                  </pic:blipFill>
                  <pic:spPr bwMode="auto">
                    <a:xfrm>
                      <a:off x="0" y="0"/>
                      <a:ext cx="5270500" cy="4134485"/>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r>
    </w:p>
    <w:p>
      <w:pPr>
        <w:pStyle w:val="style0"/>
      </w:pPr>
      <w:r>
        <w:rPr/>
      </w:r>
    </w:p>
    <w:p>
      <w:pPr>
        <w:pStyle w:val="style0"/>
      </w:pPr>
      <w:r>
        <w:rPr/>
        <w:drawing>
          <wp:inline distB="0" distL="0" distR="0" distT="0">
            <wp:extent cx="5270500" cy="28549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5"/>
                    <a:srcRect/>
                    <a:stretch>
                      <a:fillRect/>
                    </a:stretch>
                  </pic:blipFill>
                  <pic:spPr bwMode="auto">
                    <a:xfrm>
                      <a:off x="0" y="0"/>
                      <a:ext cx="5270500" cy="2854960"/>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drawing>
          <wp:inline distB="0" distL="0" distR="0" distT="0">
            <wp:extent cx="5270500" cy="33934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6"/>
                    <a:srcRect/>
                    <a:stretch>
                      <a:fillRect/>
                    </a:stretch>
                  </pic:blipFill>
                  <pic:spPr bwMode="auto">
                    <a:xfrm>
                      <a:off x="0" y="0"/>
                      <a:ext cx="5270500" cy="3393440"/>
                    </a:xfrm>
                    <a:prstGeom prst="rect">
                      <a:avLst/>
                    </a:prstGeom>
                    <a:noFill/>
                    <a:ln w="9525">
                      <a:noFill/>
                      <a:miter lim="800000"/>
                      <a:headEnd/>
                      <a:tailEnd/>
                    </a:ln>
                  </pic:spPr>
                </pic:pic>
              </a:graphicData>
            </a:graphic>
          </wp:inline>
        </w:drawing>
      </w:r>
    </w:p>
    <w:p>
      <w:pPr>
        <w:pStyle w:val="style0"/>
        <w:pageBreakBefore/>
      </w:pPr>
      <w:r>
        <w:rPr>
          <w:rFonts w:ascii="Calibri" w:cs="" w:hAnsi="Calibri"/>
          <w:b/>
          <w:bCs/>
          <w:i/>
          <w:iCs/>
          <w:color w:val="365F91"/>
        </w:rPr>
        <w:t>2) REFEREED PAPERS (2008-2013):</w:t>
      </w:r>
    </w:p>
    <w:p>
      <w:pPr>
        <w:pStyle w:val="style0"/>
      </w:pPr>
      <w:r>
        <w:rPr/>
      </w:r>
    </w:p>
    <w:p>
      <w:pPr>
        <w:pStyle w:val="style0"/>
      </w:pPr>
      <w:r>
        <w:rPr/>
        <w:t>Origin of data:</w:t>
      </w:r>
    </w:p>
    <w:p>
      <w:pPr>
        <w:pStyle w:val="style0"/>
      </w:pPr>
      <w:r>
        <w:rPr/>
      </w:r>
    </w:p>
    <w:p>
      <w:pPr>
        <w:pStyle w:val="style37"/>
        <w:numPr>
          <w:ilvl w:val="0"/>
          <w:numId w:val="3"/>
        </w:numPr>
      </w:pPr>
      <w:r>
        <w:rPr/>
        <w:t>SAO/NASA Astrophysics Data System (ADS)</w:t>
      </w:r>
    </w:p>
    <w:p>
      <w:pPr>
        <w:pStyle w:val="style0"/>
      </w:pPr>
      <w:r>
        <w:rPr/>
        <w:tab/>
        <w:t>(query: "Chandra" string in the abstract)</w:t>
      </w:r>
    </w:p>
    <w:p>
      <w:pPr>
        <w:pStyle w:val="style0"/>
      </w:pPr>
      <w:r>
        <w:rPr/>
      </w:r>
    </w:p>
    <w:p>
      <w:pPr>
        <w:pStyle w:val="style0"/>
      </w:pPr>
      <w:r>
        <w:rPr/>
      </w:r>
    </w:p>
    <w:p>
      <w:pPr>
        <w:pStyle w:val="style0"/>
      </w:pPr>
      <w:r>
        <w:rPr/>
        <w:drawing>
          <wp:inline distB="0" distL="0" distR="0" distT="0">
            <wp:extent cx="4531360" cy="9956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7"/>
                    <a:srcRect/>
                    <a:stretch>
                      <a:fillRect/>
                    </a:stretch>
                  </pic:blipFill>
                  <pic:spPr bwMode="auto">
                    <a:xfrm>
                      <a:off x="0" y="0"/>
                      <a:ext cx="4531360" cy="99568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4876800" cy="29565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8"/>
                    <a:srcRect/>
                    <a:stretch>
                      <a:fillRect/>
                    </a:stretch>
                  </pic:blipFill>
                  <pic:spPr bwMode="auto">
                    <a:xfrm>
                      <a:off x="0" y="0"/>
                      <a:ext cx="4876800" cy="295656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4909820" cy="310832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9"/>
                    <a:srcRect/>
                    <a:stretch>
                      <a:fillRect/>
                    </a:stretch>
                  </pic:blipFill>
                  <pic:spPr bwMode="auto">
                    <a:xfrm>
                      <a:off x="0" y="0"/>
                      <a:ext cx="4909820" cy="3108325"/>
                    </a:xfrm>
                    <a:prstGeom prst="rect">
                      <a:avLst/>
                    </a:prstGeom>
                    <a:noFill/>
                    <a:ln w="9525">
                      <a:noFill/>
                      <a:miter lim="800000"/>
                      <a:headEnd/>
                      <a:tailEnd/>
                    </a:ln>
                  </pic:spPr>
                </pic:pic>
              </a:graphicData>
            </a:graphic>
          </wp:inline>
        </w:drawing>
      </w:r>
    </w:p>
    <w:p>
      <w:pPr>
        <w:pStyle w:val="style1"/>
      </w:pPr>
      <w:r>
        <w:rPr/>
        <w:t xml:space="preserve">Space Facility  9 :  </w:t>
      </w:r>
      <w:r>
        <w:rPr>
          <w:u w:val="single"/>
        </w:rPr>
        <w:t>PLANCK</w:t>
      </w:r>
    </w:p>
    <w:p>
      <w:pPr>
        <w:pStyle w:val="style0"/>
      </w:pPr>
      <w:r>
        <w:rPr>
          <w:rFonts w:ascii="Times New Roman" w:cs="Times New Roman" w:hAnsi="Times New Roman"/>
        </w:rPr>
      </w:r>
    </w:p>
    <w:p>
      <w:pPr>
        <w:pStyle w:val="style0"/>
      </w:pPr>
      <w:r>
        <w:rPr>
          <w:rFonts w:ascii="Verdana" w:cs="Verdana" w:hAnsi="Verdana"/>
          <w:b/>
          <w:bCs/>
          <w:i/>
          <w:color w:val="091725"/>
        </w:rPr>
        <w:t>Planck Telescope</w:t>
      </w:r>
      <w:r>
        <w:rPr>
          <w:rFonts w:ascii="Verdana" w:cs="Verdana" w:hAnsi="Verdana"/>
          <w:i/>
          <w:color w:val="091725"/>
        </w:rPr>
        <w:t xml:space="preserve"> </w:t>
      </w:r>
    </w:p>
    <w:p>
      <w:pPr>
        <w:pStyle w:val="style0"/>
      </w:pPr>
      <w:r>
        <w:rPr>
          <w:rFonts w:ascii="Verdana" w:cs="Verdana" w:hAnsi="Verdana"/>
          <w:color w:val="091725"/>
        </w:rPr>
      </w:r>
    </w:p>
    <w:p>
      <w:pPr>
        <w:pStyle w:val="style0"/>
        <w:jc w:val="both"/>
      </w:pPr>
      <w:r>
        <w:rPr>
          <w:rFonts w:ascii="Times New Roman" w:cs="Times New Roman" w:hAnsi="Times New Roman"/>
        </w:rPr>
        <w:t>Launch: 2009</w:t>
      </w:r>
    </w:p>
    <w:p>
      <w:pPr>
        <w:pStyle w:val="style0"/>
        <w:jc w:val="both"/>
      </w:pPr>
      <w:r>
        <w:rPr>
          <w:rFonts w:ascii="Times New Roman" w:cs="Times New Roman" w:hAnsi="Times New Roman"/>
        </w:rPr>
        <w:t>Planck's telescope is an off-axis tilted Gregorian design. The collected light focuses onto the two scientific instruments:</w:t>
      </w:r>
    </w:p>
    <w:p>
      <w:pPr>
        <w:pStyle w:val="style0"/>
        <w:numPr>
          <w:ilvl w:val="0"/>
          <w:numId w:val="6"/>
        </w:numPr>
        <w:jc w:val="both"/>
      </w:pPr>
      <w:r>
        <w:rPr>
          <w:rFonts w:ascii="Times New Roman" w:cs="Times New Roman" w:hAnsi="Times New Roman"/>
        </w:rPr>
        <w:t>LFI (Low Frequency Instrument), an array of radio receivers using high electron mobility transistor mixers;</w:t>
      </w:r>
    </w:p>
    <w:p>
      <w:pPr>
        <w:pStyle w:val="style0"/>
        <w:numPr>
          <w:ilvl w:val="0"/>
          <w:numId w:val="6"/>
        </w:numPr>
        <w:jc w:val="both"/>
      </w:pPr>
      <w:r>
        <w:rPr>
          <w:rFonts w:ascii="Times New Roman" w:cs="Times New Roman" w:hAnsi="Times New Roman"/>
        </w:rPr>
        <w:t>HFI (High Frequency Instrument), an array of microwave detectors using spider bolometers equipped with neutron transmutation doped germanium thermistors.</w:t>
      </w:r>
    </w:p>
    <w:p>
      <w:pPr>
        <w:pStyle w:val="style0"/>
        <w:jc w:val="both"/>
      </w:pPr>
      <w:r>
        <w:rPr>
          <w:rFonts w:ascii="Times New Roman" w:cs="Times New Roman" w:hAnsi="Times New Roman"/>
        </w:rPr>
        <w:t>Planck provides a map of the Cosmic Microwave Background (CMB) field at all angular resolutions greater than 10 arc-minutes and with a temperature resolution of the order of one part in 10</w:t>
      </w:r>
      <w:r>
        <w:rPr>
          <w:rFonts w:ascii="Times New Roman" w:cs="Times New Roman" w:hAnsi="Times New Roman"/>
          <w:vertAlign w:val="superscript"/>
        </w:rPr>
        <w:t>6</w:t>
      </w:r>
      <w:r>
        <w:rPr>
          <w:rFonts w:ascii="Times New Roman" w:cs="Times New Roman" w:hAnsi="Times New Roman"/>
        </w:rPr>
        <w:t>. The simultaneous mapping of the sky at a wide range of frequencies enables the separation of the Galactic and extragalactic foreground radiation from the primordial cosmological background signal.</w:t>
      </w:r>
    </w:p>
    <w:p>
      <w:pPr>
        <w:pStyle w:val="style0"/>
        <w:jc w:val="both"/>
      </w:pPr>
      <w:r>
        <w:rPr>
          <w:rFonts w:ascii="Times New Roman" w:cs="Times New Roman" w:hAnsi="Times New Roman"/>
        </w:rPr>
        <w:t>Status: Turned off</w:t>
      </w:r>
    </w:p>
    <w:p>
      <w:pPr>
        <w:pStyle w:val="style0"/>
        <w:jc w:val="both"/>
      </w:pPr>
      <w:r>
        <w:rPr>
          <w:rFonts w:ascii="Times New Roman" w:cs="Times New Roman" w:hAnsi="Times New Roman"/>
        </w:rPr>
      </w:r>
    </w:p>
    <w:p>
      <w:pPr>
        <w:pStyle w:val="style0"/>
        <w:jc w:val="both"/>
      </w:pPr>
      <w:r>
        <w:rPr>
          <w:rFonts w:ascii="Times New Roman" w:cs="Times New Roman" w:hAnsi="Times New Roman"/>
        </w:rPr>
        <w:t>The specific policy of this mission prevents statistics on the proposals. For what concerns the publications the "Italy"/"Rest of the World" classification was derived according to the following criteria:</w:t>
      </w:r>
    </w:p>
    <w:p>
      <w:pPr>
        <w:pStyle w:val="style37"/>
        <w:numPr>
          <w:ilvl w:val="0"/>
          <w:numId w:val="7"/>
        </w:numPr>
        <w:jc w:val="both"/>
      </w:pPr>
      <w:r>
        <w:rPr>
          <w:rFonts w:ascii="Times New Roman" w:cs="Times New Roman" w:hAnsi="Times New Roman"/>
        </w:rPr>
        <w:t>Public Planck Data (2a): affiliation of the first author of the work;</w:t>
      </w:r>
    </w:p>
    <w:p>
      <w:pPr>
        <w:pStyle w:val="style37"/>
        <w:numPr>
          <w:ilvl w:val="0"/>
          <w:numId w:val="7"/>
        </w:numPr>
        <w:jc w:val="both"/>
      </w:pPr>
      <w:r>
        <w:rPr>
          <w:rFonts w:ascii="Times New Roman" w:cs="Times New Roman" w:hAnsi="Times New Roman"/>
        </w:rPr>
        <w:t xml:space="preserve">Planck Collaboration Scientific Papers (2b): affiliation of the Planck Project Leader(s) of each work (Gianluca Polenta &amp; Paolo Natoli, </w:t>
      </w:r>
      <w:r>
        <w:rPr>
          <w:rFonts w:ascii="Times New Roman" w:cs="Times New Roman" w:hAnsi="Times New Roman"/>
          <w:i/>
        </w:rPr>
        <w:t>private communication</w:t>
      </w:r>
      <w:r>
        <w:rPr>
          <w:rFonts w:ascii="Times New Roman" w:cs="Times New Roman" w:hAnsi="Times New Roman"/>
        </w:rPr>
        <w:t>);</w:t>
      </w:r>
    </w:p>
    <w:p>
      <w:pPr>
        <w:pStyle w:val="style37"/>
        <w:numPr>
          <w:ilvl w:val="0"/>
          <w:numId w:val="7"/>
        </w:numPr>
        <w:jc w:val="both"/>
      </w:pPr>
      <w:r>
        <w:rPr>
          <w:rFonts w:ascii="Times New Roman" w:cs="Times New Roman" w:hAnsi="Times New Roman"/>
        </w:rPr>
        <w:t>Planck Collaboration Technical Papers (2c): affiliation of the first author of the work.</w:t>
      </w:r>
    </w:p>
    <w:p>
      <w:pPr>
        <w:pStyle w:val="style0"/>
        <w:jc w:val="both"/>
      </w:pPr>
      <w:r>
        <w:rPr>
          <w:rFonts w:ascii="Times New Roman" w:cs="Times New Roman" w:hAnsi="Times New Roman"/>
        </w:rPr>
        <w:t>We acknowledge Gianluca Polenta (ASDC) for his help.</w:t>
      </w:r>
    </w:p>
    <w:p>
      <w:pPr>
        <w:pStyle w:val="style0"/>
        <w:jc w:val="both"/>
      </w:pPr>
      <w:r>
        <w:rPr>
          <w:rFonts w:ascii="Times New Roman" w:cs="Times New Roman" w:hAnsi="Times New Roman"/>
        </w:rPr>
      </w:r>
    </w:p>
    <w:p>
      <w:pPr>
        <w:pStyle w:val="style4"/>
        <w:numPr>
          <w:ilvl w:val="3"/>
          <w:numId w:val="1"/>
        </w:numPr>
        <w:jc w:val="both"/>
      </w:pPr>
      <w:r>
        <w:rPr>
          <w:color w:val="365F91"/>
        </w:rPr>
        <w:t>2a) REFEREED PAPERS MAKING USE OF PUBLIC PLANCK DATA (produced by scientists not representing the Planck Collaboration):</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4"/>
        </w:numPr>
      </w:pPr>
      <w:r>
        <w:rPr>
          <w:rFonts w:ascii="Times New Roman" w:cs="Times New Roman" w:hAnsi="Times New Roman"/>
        </w:rPr>
        <w:t>ESA Planck Mission Site:</w:t>
      </w:r>
    </w:p>
    <w:p>
      <w:pPr>
        <w:pStyle w:val="style0"/>
      </w:pPr>
      <w:r>
        <w:rPr>
          <w:rFonts w:ascii="Times New Roman" w:cs="Times New Roman" w:hAnsi="Times New Roman"/>
        </w:rPr>
        <w:tab/>
        <w:t>(http://www.sciops.esa.int/index.php?project=PLANCK&amp;page=Planck_Published_Papers)</w:t>
      </w:r>
    </w:p>
    <w:p>
      <w:pPr>
        <w:pStyle w:val="style0"/>
      </w:pPr>
      <w:r>
        <w:rPr>
          <w:rFonts w:ascii="Times New Roman" w:cs="Times New Roman" w:hAnsi="Times New Roman"/>
        </w:rPr>
      </w:r>
    </w:p>
    <w:p>
      <w:pPr>
        <w:pStyle w:val="style0"/>
      </w:pPr>
      <w:r>
        <w:rPr>
          <w:rFonts w:ascii="Times New Roman" w:cs="Times New Roman" w:hAnsi="Times New Roman"/>
        </w:rPr>
      </w:r>
    </w:p>
    <w:p>
      <w:pPr>
        <w:pStyle w:val="style4"/>
        <w:numPr>
          <w:ilvl w:val="3"/>
          <w:numId w:val="1"/>
        </w:numPr>
        <w:jc w:val="both"/>
      </w:pPr>
      <w:r>
        <w:rPr>
          <w:color w:val="365F91"/>
        </w:rPr>
      </w:r>
    </w:p>
    <w:p>
      <w:pPr>
        <w:pStyle w:val="style0"/>
      </w:pPr>
      <w:r>
        <w:rPr/>
      </w:r>
    </w:p>
    <w:p>
      <w:pPr>
        <w:pStyle w:val="style4"/>
        <w:numPr>
          <w:ilvl w:val="3"/>
          <w:numId w:val="1"/>
        </w:numPr>
        <w:jc w:val="both"/>
      </w:pPr>
      <w:r>
        <w:rPr>
          <w:color w:val="365F91"/>
        </w:rPr>
      </w:r>
    </w:p>
    <w:p>
      <w:pPr>
        <w:pStyle w:val="style4"/>
        <w:numPr>
          <w:ilvl w:val="3"/>
          <w:numId w:val="1"/>
        </w:numPr>
        <w:jc w:val="both"/>
      </w:pPr>
      <w:r>
        <w:rPr>
          <w:color w:val="365F91"/>
        </w:rPr>
      </w:r>
    </w:p>
    <w:p>
      <w:pPr>
        <w:pStyle w:val="style4"/>
        <w:numPr>
          <w:ilvl w:val="3"/>
          <w:numId w:val="1"/>
        </w:numPr>
        <w:jc w:val="both"/>
      </w:pPr>
      <w:r>
        <w:rPr>
          <w:color w:val="365F91"/>
        </w:rPr>
      </w:r>
    </w:p>
    <w:p>
      <w:pPr>
        <w:pStyle w:val="style4"/>
        <w:numPr>
          <w:ilvl w:val="3"/>
          <w:numId w:val="1"/>
        </w:numPr>
        <w:jc w:val="both"/>
      </w:pPr>
      <w:r>
        <w:rPr>
          <w:color w:val="365F91"/>
        </w:rPr>
      </w:r>
    </w:p>
    <w:p>
      <w:pPr>
        <w:pStyle w:val="style0"/>
      </w:pPr>
      <w:r>
        <w:rPr/>
      </w:r>
    </w:p>
    <w:p>
      <w:pPr>
        <w:pStyle w:val="style4"/>
        <w:numPr>
          <w:ilvl w:val="3"/>
          <w:numId w:val="1"/>
        </w:numPr>
        <w:jc w:val="both"/>
      </w:pPr>
      <w:r>
        <w:rPr>
          <w:color w:val="365F91"/>
        </w:rPr>
        <w:t>2b) PLANCK "EARLY", "INTERMEDIATE" AND "2013" RESULTS REFEREED PAPERS (produced by scientists belonging to the Planck Collaboration):</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4"/>
        </w:numPr>
      </w:pPr>
      <w:r>
        <w:rPr>
          <w:rFonts w:ascii="Times New Roman" w:cs="Times New Roman" w:hAnsi="Times New Roman"/>
        </w:rPr>
        <w:t>ESA Planck Mission Site:</w:t>
      </w:r>
    </w:p>
    <w:p>
      <w:pPr>
        <w:pStyle w:val="style0"/>
      </w:pPr>
      <w:r>
        <w:rPr>
          <w:rFonts w:ascii="Times New Roman" w:cs="Times New Roman" w:hAnsi="Times New Roman"/>
        </w:rPr>
        <w:tab/>
        <w:t>(http://www.sciops.esa.int/index.php?project=PLANCK&amp;page=Planck_Published_Papers)</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0"/>
        <w:jc w:val="center"/>
      </w:pPr>
      <w:r>
        <w:rPr>
          <w:rFonts w:ascii="Times New Roman" w:cs="Times New Roman" w:hAnsi="Times New Roman"/>
        </w:rPr>
      </w:r>
    </w:p>
    <w:p>
      <w:pPr>
        <w:pStyle w:val="style4"/>
        <w:numPr>
          <w:ilvl w:val="3"/>
          <w:numId w:val="1"/>
        </w:numPr>
        <w:jc w:val="both"/>
      </w:pPr>
      <w:r>
        <w:rPr>
          <w:color w:val="365F91"/>
        </w:rPr>
        <w:t>2c) PLANCK "PRE-LAUNCH" AND "TECHNICAL" REFEREED PAPERS (produced by scientists belonging to the Planck Collaboration):</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37"/>
        <w:numPr>
          <w:ilvl w:val="0"/>
          <w:numId w:val="4"/>
        </w:numPr>
      </w:pPr>
      <w:r>
        <w:rPr>
          <w:rFonts w:ascii="Times New Roman" w:cs="Times New Roman" w:hAnsi="Times New Roman"/>
        </w:rPr>
        <w:t>ESA Planck Mission Site:</w:t>
      </w:r>
    </w:p>
    <w:p>
      <w:pPr>
        <w:pStyle w:val="style0"/>
      </w:pPr>
      <w:r>
        <w:rPr>
          <w:rFonts w:ascii="Times New Roman" w:cs="Times New Roman" w:hAnsi="Times New Roman"/>
        </w:rPr>
        <w:tab/>
        <w:t>(http://www.sciops.esa.int/index.php?project=PLANCK&amp;page=Planck_Published_Papers)</w:t>
      </w:r>
    </w:p>
    <w:p>
      <w:pPr>
        <w:pStyle w:val="style0"/>
      </w:pPr>
      <w:r>
        <w:rPr>
          <w:rFonts w:ascii="Times New Roman" w:cs="Times New Roman" w:hAnsi="Times New Roman"/>
        </w:rPr>
      </w:r>
    </w:p>
    <w:p>
      <w:pPr>
        <w:pStyle w:val="style0"/>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pPr>
      <w:r>
        <w:rPr/>
      </w:r>
    </w:p>
    <w:p>
      <w:pPr>
        <w:pStyle w:val="style0"/>
        <w:pageBreakBefore/>
      </w:pPr>
      <w:r>
        <w:rPr/>
      </w:r>
    </w:p>
    <w:p>
      <w:pPr>
        <w:pStyle w:val="style37"/>
        <w:widowControl w:val="false"/>
        <w:numPr>
          <w:ilvl w:val="0"/>
          <w:numId w:val="5"/>
        </w:numPr>
        <w:tabs>
          <w:tab w:leader="none" w:pos="1280" w:val="left"/>
          <w:tab w:leader="none" w:pos="1840" w:val="left"/>
          <w:tab w:leader="none" w:pos="2400" w:val="left"/>
          <w:tab w:leader="none" w:pos="2960" w:val="left"/>
          <w:tab w:leader="none" w:pos="3520" w:val="left"/>
          <w:tab w:leader="none" w:pos="4080" w:val="left"/>
          <w:tab w:leader="none" w:pos="4640" w:val="left"/>
          <w:tab w:leader="none" w:pos="5200" w:val="left"/>
          <w:tab w:leader="none" w:pos="5760" w:val="left"/>
          <w:tab w:leader="none" w:pos="6320" w:val="left"/>
          <w:tab w:leader="none" w:pos="6880" w:val="left"/>
          <w:tab w:leader="none" w:pos="7440" w:val="left"/>
        </w:tabs>
      </w:pPr>
      <w:r>
        <w:rPr>
          <w:rFonts w:ascii="Calibri" w:cs="" w:hAnsi="Calibri"/>
          <w:b/>
          <w:bCs/>
          <w:color w:val="345A8A"/>
          <w:sz w:val="40"/>
          <w:szCs w:val="40"/>
        </w:rPr>
        <w:t>Ground Facilities</w:t>
      </w:r>
    </w:p>
    <w:p>
      <w:pPr>
        <w:pStyle w:val="style1"/>
      </w:pPr>
      <w:r>
        <w:rPr/>
        <w:t xml:space="preserve">Ground facility  1 :  </w:t>
      </w:r>
      <w:r>
        <w:rPr>
          <w:u w:val="single"/>
        </w:rPr>
        <w:t>TNG</w:t>
      </w:r>
    </w:p>
    <w:p>
      <w:pPr>
        <w:pStyle w:val="style0"/>
      </w:pPr>
      <w:r>
        <w:rPr>
          <w:rFonts w:ascii="Times New Roman" w:cs="Times New Roman" w:hAnsi="Times New Roman"/>
        </w:rPr>
      </w:r>
    </w:p>
    <w:p>
      <w:pPr>
        <w:pStyle w:val="style0"/>
      </w:pPr>
      <w:r>
        <w:rPr>
          <w:rFonts w:ascii="Verdana" w:cs="Verdana" w:hAnsi="Verdana"/>
          <w:b/>
          <w:bCs/>
          <w:i/>
          <w:color w:val="091725"/>
        </w:rPr>
        <w:t>Telescopio Nazionale Galileo</w:t>
      </w:r>
    </w:p>
    <w:p>
      <w:pPr>
        <w:pStyle w:val="style0"/>
      </w:pPr>
      <w:r>
        <w:rPr>
          <w:rFonts w:ascii="Verdana" w:cs="Verdana" w:hAnsi="Verdana"/>
          <w:color w:val="091725"/>
        </w:rPr>
      </w:r>
    </w:p>
    <w:p>
      <w:pPr>
        <w:pStyle w:val="style0"/>
        <w:jc w:val="both"/>
      </w:pPr>
      <w:r>
        <w:rPr>
          <w:rFonts w:ascii="Times New Roman" w:cs="Times New Roman" w:hAnsi="Times New Roman"/>
        </w:rPr>
        <w:t>TNG is 3.58m Alt-Az telescope equipped with an active optics system. Its 2 Nasmyth foci host 3 instruments: DOLORES (Device Optimized for the LOw RESolution), is an imager (FoV=8.6x8.6 arcmin, scale=0.252 arcsec/px) + low resolution spectrograph (R=500-6000); NICS (Near Infrared Camera Spectrometer) is the infrared camera/spectrometer (es.: FoV=4.2x4.2 arcmin, scale=0.25 arcsec/px); HARPS-N (High Accuracy Radial velocity Planet Searcher in North hemisphere) is an echelle spectrograph working in the range 383-693 nm and spectral resolution R=115000.</w:t>
      </w:r>
    </w:p>
    <w:p>
      <w:pPr>
        <w:pStyle w:val="style0"/>
        <w:jc w:val="both"/>
      </w:pPr>
      <w:r>
        <w:rPr>
          <w:rFonts w:ascii="Times New Roman" w:cs="Times New Roman" w:hAnsi="Times New Roman"/>
        </w:rPr>
        <w:t>http://www.tng.iac.es/</w:t>
      </w:r>
    </w:p>
    <w:p>
      <w:pPr>
        <w:pStyle w:val="style0"/>
        <w:jc w:val="both"/>
      </w:pPr>
      <w:r>
        <w:rPr>
          <w:rFonts w:ascii="Times New Roman" w:cs="Times New Roman" w:hAnsi="Times New Roman"/>
        </w:rPr>
        <w:t>Status: ongoing</w:t>
      </w:r>
    </w:p>
    <w:p>
      <w:pPr>
        <w:pStyle w:val="style0"/>
      </w:pPr>
      <w:r>
        <w:rPr>
          <w:rFonts w:ascii="Times New Roman" w:cs="Times New Roman" w:hAnsi="Times New Roman"/>
        </w:rPr>
      </w:r>
    </w:p>
    <w:p>
      <w:pPr>
        <w:pStyle w:val="style0"/>
      </w:pPr>
      <w:r>
        <w:rPr>
          <w:rFonts w:ascii="Calibri" w:cs="" w:hAnsi="Calibri"/>
          <w:b/>
          <w:bCs/>
          <w:i/>
          <w:iCs/>
          <w:color w:val="365F91"/>
        </w:rPr>
        <w:t>1) ACCEPTED OBSERVING PROPOSALS (2009-2013):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0"/>
        <w:ind w:hanging="0" w:left="708" w:right="0"/>
      </w:pPr>
      <w:r>
        <w:rPr>
          <w:rFonts w:ascii="Times New Roman" w:cs="Times New Roman" w:hAnsi="Times New Roman"/>
        </w:rPr>
        <w:t>E. Molinari  (TNG- Director)</w:t>
      </w:r>
    </w:p>
    <w:p>
      <w:pPr>
        <w:pStyle w:val="style0"/>
        <w:ind w:hanging="0" w:left="708" w:right="0"/>
      </w:pPr>
      <w:r>
        <w:rPr>
          <w:rFonts w:ascii="Times New Roman" w:cs="Times New Roman" w:hAnsi="Times New Roman"/>
        </w:rPr>
      </w:r>
    </w:p>
    <w:p>
      <w:pPr>
        <w:pStyle w:val="style0"/>
      </w:pPr>
      <w:r>
        <w:rPr>
          <w:rFonts w:ascii="Times New Roman" w:cs="Times New Roman" w:hAnsi="Times New Roman"/>
        </w:rPr>
        <w:t>The data and figures are extracted by a recent presentation of E. Molinari.</w:t>
      </w:r>
    </w:p>
    <w:p>
      <w:pPr>
        <w:pStyle w:val="style0"/>
      </w:pPr>
      <w:r>
        <w:rPr>
          <w:rFonts w:ascii="Times New Roman" w:cs="Times New Roman" w:hAnsi="Times New Roman"/>
        </w:rPr>
        <w:t xml:space="preserve">The number of accepted proposals with Italian P.I. is of the order of 75-80% with respect to all accepted proposals. </w:t>
      </w:r>
    </w:p>
    <w:p>
      <w:pPr>
        <w:pStyle w:val="style0"/>
        <w:ind w:hanging="0" w:left="708" w:right="0"/>
      </w:pPr>
      <w:r>
        <w:rPr>
          <w:rFonts w:ascii="Times New Roman" w:cs="Times New Roman" w:hAnsi="Times New Roman"/>
        </w:rPr>
      </w:r>
    </w:p>
    <w:p>
      <w:pPr>
        <w:pStyle w:val="style0"/>
      </w:pPr>
      <w:r>
        <w:rPr>
          <w:rFonts w:ascii="Times New Roman" w:cs="Times New Roman" w:hAnsi="Times New Roman"/>
        </w:rPr>
      </w:r>
    </w:p>
    <w:tbl>
      <w:tblPr>
        <w:jc w:val="left"/>
        <w:tblInd w:type="dxa" w:w="-108"/>
        <w:tblBorders/>
      </w:tblPr>
      <w:tblGrid>
        <w:gridCol w:w="1383"/>
        <w:gridCol w:w="7175"/>
      </w:tblGrid>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t>Categories:</w:t>
            </w:r>
          </w:p>
        </w:tc>
        <w:tc>
          <w:tcPr>
            <w:tcW w:type="dxa" w:w="7175"/>
            <w:gridSpan w:val="2"/>
            <w:tcBorders/>
            <w:shd w:fill="auto" w:val="clear"/>
            <w:tcMar>
              <w:top w:type="dxa" w:w="0"/>
              <w:left w:type="dxa" w:w="108"/>
              <w:bottom w:type="dxa" w:w="0"/>
              <w:right w:type="dxa" w:w="108"/>
            </w:tcMar>
          </w:tcPr>
          <w:p>
            <w:pPr>
              <w:pStyle w:val="style0"/>
              <w:ind w:hanging="0" w:left="207" w:right="0"/>
            </w:pPr>
            <w:r>
              <w:rPr>
                <w:rFonts w:ascii="Times New Roman" w:cs="Times New Roman" w:hAnsi="Times New Roman"/>
                <w:bCs/>
                <w:szCs w:val="22"/>
              </w:rPr>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A</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Cosmology</w:t>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B</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Galaxies and galactic nuclei</w:t>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C</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Interstellar medium, star formation and planetary systems</w:t>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D</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Stellar evolution</w:t>
            </w:r>
          </w:p>
        </w:tc>
      </w:tr>
    </w:tbl>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5270500" cy="130937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0"/>
                    <a:srcRect/>
                    <a:stretch>
                      <a:fillRect/>
                    </a:stretch>
                  </pic:blipFill>
                  <pic:spPr bwMode="auto">
                    <a:xfrm>
                      <a:off x="0" y="0"/>
                      <a:ext cx="5270500" cy="130937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270500" cy="15290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1"/>
                    <a:srcRect/>
                    <a:stretch>
                      <a:fillRect/>
                    </a:stretch>
                  </pic:blipFill>
                  <pic:spPr bwMode="auto">
                    <a:xfrm>
                      <a:off x="0" y="0"/>
                      <a:ext cx="5270500" cy="1529080"/>
                    </a:xfrm>
                    <a:prstGeom prst="rect">
                      <a:avLst/>
                    </a:prstGeom>
                    <a:noFill/>
                    <a:ln w="9525">
                      <a:noFill/>
                      <a:miter lim="800000"/>
                      <a:headEnd/>
                      <a:tailEnd/>
                    </a:ln>
                  </pic:spPr>
                </pic:pic>
              </a:graphicData>
            </a:graphic>
          </wp:inline>
        </w:drawing>
      </w:r>
    </w:p>
    <w:p>
      <w:pPr>
        <w:pStyle w:val="style0"/>
      </w:pPr>
      <w:r>
        <w:rPr/>
        <w:drawing>
          <wp:inline distB="0" distL="0" distR="0" distT="0">
            <wp:extent cx="4744720" cy="27533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2"/>
                    <a:srcRect/>
                    <a:stretch>
                      <a:fillRect/>
                    </a:stretch>
                  </pic:blipFill>
                  <pic:spPr bwMode="auto">
                    <a:xfrm>
                      <a:off x="0" y="0"/>
                      <a:ext cx="4744720" cy="275336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4592320" cy="27533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3"/>
                    <a:srcRect/>
                    <a:stretch>
                      <a:fillRect/>
                    </a:stretch>
                  </pic:blipFill>
                  <pic:spPr bwMode="auto">
                    <a:xfrm>
                      <a:off x="0" y="0"/>
                      <a:ext cx="4592320" cy="275336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270500" cy="130937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4"/>
                    <a:srcRect/>
                    <a:stretch>
                      <a:fillRect/>
                    </a:stretch>
                  </pic:blipFill>
                  <pic:spPr bwMode="auto">
                    <a:xfrm>
                      <a:off x="0" y="0"/>
                      <a:ext cx="5270500" cy="1309370"/>
                    </a:xfrm>
                    <a:prstGeom prst="rect">
                      <a:avLst/>
                    </a:prstGeom>
                    <a:noFill/>
                    <a:ln w="9525">
                      <a:noFill/>
                      <a:miter lim="800000"/>
                      <a:headEnd/>
                      <a:tailEnd/>
                    </a:ln>
                  </pic:spPr>
                </pic:pic>
              </a:graphicData>
            </a:graphic>
          </wp:inline>
        </w:drawing>
      </w:r>
    </w:p>
    <w:p>
      <w:pPr>
        <w:pStyle w:val="style0"/>
      </w:pPr>
      <w:r>
        <w:rPr/>
        <w:drawing>
          <wp:inline distB="0" distL="0" distR="0" distT="0">
            <wp:extent cx="5270500" cy="15290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5"/>
                    <a:srcRect/>
                    <a:stretch>
                      <a:fillRect/>
                    </a:stretch>
                  </pic:blipFill>
                  <pic:spPr bwMode="auto">
                    <a:xfrm>
                      <a:off x="0" y="0"/>
                      <a:ext cx="5270500" cy="152908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rPr>
        <w:t xml:space="preserve"> </w:t>
      </w:r>
      <w:r>
        <w:rPr/>
        <w:drawing>
          <wp:inline distB="0" distL="0" distR="0" distT="0">
            <wp:extent cx="4744720" cy="27635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6"/>
                    <a:srcRect/>
                    <a:stretch>
                      <a:fillRect/>
                    </a:stretch>
                  </pic:blipFill>
                  <pic:spPr bwMode="auto">
                    <a:xfrm>
                      <a:off x="0" y="0"/>
                      <a:ext cx="4744720" cy="276352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4592320" cy="27635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7"/>
                    <a:srcRect/>
                    <a:stretch>
                      <a:fillRect/>
                    </a:stretch>
                  </pic:blipFill>
                  <pic:spPr bwMode="auto">
                    <a:xfrm>
                      <a:off x="0" y="0"/>
                      <a:ext cx="4592320" cy="276352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rFonts w:ascii="Times New Roman" w:cs="Times New Roman" w:hAnsi="Times New Roman"/>
          <w:sz w:val="28"/>
          <w:szCs w:val="28"/>
        </w:rPr>
      </w:r>
    </w:p>
    <w:p>
      <w:pPr>
        <w:pStyle w:val="style0"/>
      </w:pPr>
      <w:r>
        <w:rPr/>
      </w:r>
    </w:p>
    <w:p>
      <w:pPr>
        <w:pStyle w:val="style0"/>
      </w:pPr>
      <w:r>
        <w:rPr/>
      </w:r>
    </w:p>
    <w:p>
      <w:pPr>
        <w:pStyle w:val="style0"/>
      </w:pPr>
      <w:r>
        <w:rPr/>
      </w:r>
    </w:p>
    <w:p>
      <w:pPr>
        <w:pStyle w:val="style0"/>
      </w:pPr>
      <w:r>
        <w:rPr/>
      </w:r>
    </w:p>
    <w:p>
      <w:pPr>
        <w:pStyle w:val="style0"/>
      </w:pPr>
      <w:r>
        <w:rPr>
          <w:rFonts w:ascii="Calibri" w:cs="" w:hAnsi="Calibri"/>
          <w:b/>
          <w:bCs/>
          <w:i/>
          <w:iCs/>
          <w:color w:val="365F91"/>
        </w:rPr>
        <w:t>2) REFEREED PAPERS (2008-2012):</w:t>
      </w:r>
    </w:p>
    <w:p>
      <w:pPr>
        <w:pStyle w:val="style0"/>
      </w:pPr>
      <w:r>
        <w:rPr>
          <w:color w:val="365F91"/>
        </w:rPr>
      </w:r>
    </w:p>
    <w:p>
      <w:pPr>
        <w:pStyle w:val="style0"/>
      </w:pPr>
      <w:r>
        <w:rPr/>
        <w:t>Origin of data:</w:t>
      </w:r>
    </w:p>
    <w:p>
      <w:pPr>
        <w:pStyle w:val="style0"/>
      </w:pPr>
      <w:r>
        <w:rPr/>
      </w:r>
    </w:p>
    <w:p>
      <w:pPr>
        <w:pStyle w:val="style0"/>
        <w:ind w:hanging="0" w:left="708" w:right="0"/>
      </w:pPr>
      <w:r>
        <w:rPr>
          <w:rFonts w:ascii="Times New Roman" w:cs="Times New Roman" w:hAnsi="Times New Roman"/>
        </w:rPr>
        <w:t>E. Molinari  (TNG- Director)</w:t>
      </w:r>
    </w:p>
    <w:p>
      <w:pPr>
        <w:pStyle w:val="style0"/>
      </w:pPr>
      <w:r>
        <w:rPr>
          <w:rFonts w:ascii="Times New Roman" w:cs="Times New Roman" w:hAnsi="Times New Roman"/>
        </w:rPr>
      </w:r>
    </w:p>
    <w:p>
      <w:pPr>
        <w:pStyle w:val="style0"/>
      </w:pPr>
      <w:r>
        <w:rPr/>
        <w:drawing>
          <wp:inline distB="0" distL="0" distR="0" distT="0">
            <wp:extent cx="5270500" cy="108394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8"/>
                    <a:srcRect/>
                    <a:stretch>
                      <a:fillRect/>
                    </a:stretch>
                  </pic:blipFill>
                  <pic:spPr bwMode="auto">
                    <a:xfrm>
                      <a:off x="0" y="0"/>
                      <a:ext cx="5270500" cy="108394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drawing>
          <wp:inline distB="0" distL="0" distR="0" distT="0">
            <wp:extent cx="5270500" cy="108394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9"/>
                    <a:srcRect/>
                    <a:stretch>
                      <a:fillRect/>
                    </a:stretch>
                  </pic:blipFill>
                  <pic:spPr bwMode="auto">
                    <a:xfrm>
                      <a:off x="0" y="0"/>
                      <a:ext cx="5270500" cy="108394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drawing>
          <wp:inline distB="0" distL="0" distR="0" distT="0">
            <wp:extent cx="5270500" cy="26314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0"/>
                    <a:srcRect/>
                    <a:stretch>
                      <a:fillRect/>
                    </a:stretch>
                  </pic:blipFill>
                  <pic:spPr bwMode="auto">
                    <a:xfrm>
                      <a:off x="0" y="0"/>
                      <a:ext cx="5270500" cy="263144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drawing>
          <wp:inline distB="0" distL="0" distR="0" distT="0">
            <wp:extent cx="5181600" cy="32105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1"/>
                    <a:srcRect/>
                    <a:stretch>
                      <a:fillRect/>
                    </a:stretch>
                  </pic:blipFill>
                  <pic:spPr bwMode="auto">
                    <a:xfrm>
                      <a:off x="0" y="0"/>
                      <a:ext cx="5181600" cy="3210560"/>
                    </a:xfrm>
                    <a:prstGeom prst="rect">
                      <a:avLst/>
                    </a:prstGeom>
                    <a:noFill/>
                    <a:ln w="9525">
                      <a:noFill/>
                      <a:miter lim="800000"/>
                      <a:headEnd/>
                      <a:tailEnd/>
                    </a:ln>
                  </pic:spPr>
                </pic:pic>
              </a:graphicData>
            </a:graphic>
          </wp:inline>
        </w:drawing>
      </w:r>
      <w:r>
        <w:rPr>
          <w:rFonts w:ascii="Times New Roman" w:cs="Times New Roman" w:hAnsi="Times New Roman"/>
          <w:sz w:val="28"/>
          <w:szCs w:val="28"/>
        </w:rPr>
        <w:br/>
      </w:r>
    </w:p>
    <w:p>
      <w:pPr>
        <w:pStyle w:val="style0"/>
      </w:pPr>
      <w:r>
        <w:rPr/>
        <w:drawing>
          <wp:inline distB="0" distL="0" distR="0" distT="0">
            <wp:extent cx="4927600" cy="11785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2"/>
                    <a:srcRect/>
                    <a:stretch>
                      <a:fillRect/>
                    </a:stretch>
                  </pic:blipFill>
                  <pic:spPr bwMode="auto">
                    <a:xfrm>
                      <a:off x="0" y="0"/>
                      <a:ext cx="4927600" cy="117856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drawing>
          <wp:inline distB="0" distL="0" distR="0" distT="0">
            <wp:extent cx="3942080" cy="11785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3"/>
                    <a:srcRect/>
                    <a:stretch>
                      <a:fillRect/>
                    </a:stretch>
                  </pic:blipFill>
                  <pic:spPr bwMode="auto">
                    <a:xfrm>
                      <a:off x="0" y="0"/>
                      <a:ext cx="3942080" cy="1178560"/>
                    </a:xfrm>
                    <a:prstGeom prst="rect">
                      <a:avLst/>
                    </a:prstGeom>
                    <a:noFill/>
                    <a:ln w="9525">
                      <a:noFill/>
                      <a:miter lim="800000"/>
                      <a:headEnd/>
                      <a:tailEnd/>
                    </a:ln>
                  </pic:spPr>
                </pic:pic>
              </a:graphicData>
            </a:graphic>
          </wp:inline>
        </w:drawing>
      </w:r>
    </w:p>
    <w:p>
      <w:pPr>
        <w:pStyle w:val="style0"/>
      </w:pPr>
      <w:r>
        <w:rPr/>
      </w:r>
    </w:p>
    <w:p>
      <w:pPr>
        <w:pStyle w:val="style0"/>
      </w:pPr>
      <w:r>
        <w:rPr/>
        <w:drawing>
          <wp:inline distB="0" distL="0" distR="0" distT="0">
            <wp:extent cx="5270500" cy="261683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4"/>
                    <a:srcRect/>
                    <a:stretch>
                      <a:fillRect/>
                    </a:stretch>
                  </pic:blipFill>
                  <pic:spPr bwMode="auto">
                    <a:xfrm>
                      <a:off x="0" y="0"/>
                      <a:ext cx="5270500" cy="2616835"/>
                    </a:xfrm>
                    <a:prstGeom prst="rect">
                      <a:avLst/>
                    </a:prstGeom>
                    <a:noFill/>
                    <a:ln w="9525">
                      <a:noFill/>
                      <a:miter lim="800000"/>
                      <a:headEnd/>
                      <a:tailEnd/>
                    </a:ln>
                  </pic:spPr>
                </pic:pic>
              </a:graphicData>
            </a:graphic>
          </wp:inline>
        </w:drawing>
      </w:r>
    </w:p>
    <w:p>
      <w:pPr>
        <w:pStyle w:val="style0"/>
      </w:pPr>
      <w:r>
        <w:rPr/>
        <w:drawing>
          <wp:inline distB="0" distL="0" distR="0" distT="0">
            <wp:extent cx="5270500" cy="34817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5"/>
                    <a:srcRect/>
                    <a:stretch>
                      <a:fillRect/>
                    </a:stretch>
                  </pic:blipFill>
                  <pic:spPr bwMode="auto">
                    <a:xfrm>
                      <a:off x="0" y="0"/>
                      <a:ext cx="5270500" cy="3481705"/>
                    </a:xfrm>
                    <a:prstGeom prst="rect">
                      <a:avLst/>
                    </a:prstGeom>
                    <a:noFill/>
                    <a:ln w="9525">
                      <a:noFill/>
                      <a:miter lim="800000"/>
                      <a:headEnd/>
                      <a:tailEnd/>
                    </a:ln>
                  </pic:spPr>
                </pic:pic>
              </a:graphicData>
            </a:graphic>
          </wp:inline>
        </w:drawing>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Fonts w:ascii="Calibri" w:cs="" w:hAnsi="Calibri"/>
          <w:b/>
          <w:bCs/>
          <w:color w:val="345A8A"/>
          <w:sz w:val="32"/>
          <w:szCs w:val="32"/>
        </w:rPr>
      </w:r>
    </w:p>
    <w:p>
      <w:pPr>
        <w:pStyle w:val="style1"/>
        <w:pageBreakBefore/>
      </w:pPr>
      <w:r>
        <w:rPr/>
        <w:t xml:space="preserve">Ground facility  2 :  </w:t>
      </w:r>
      <w:r>
        <w:rPr>
          <w:u w:val="single"/>
        </w:rPr>
        <w:t>LBT</w:t>
      </w:r>
    </w:p>
    <w:p>
      <w:pPr>
        <w:pStyle w:val="style0"/>
      </w:pPr>
      <w:r>
        <w:rPr>
          <w:rFonts w:ascii="Times New Roman" w:cs="Times New Roman" w:hAnsi="Times New Roman"/>
        </w:rPr>
      </w:r>
    </w:p>
    <w:p>
      <w:pPr>
        <w:pStyle w:val="style0"/>
      </w:pPr>
      <w:r>
        <w:rPr>
          <w:rFonts w:ascii="Verdana" w:cs="Verdana" w:hAnsi="Verdana"/>
          <w:b/>
          <w:bCs/>
          <w:i/>
          <w:color w:val="091725"/>
        </w:rPr>
        <w:t xml:space="preserve">Large Binocular Telescope </w:t>
      </w:r>
    </w:p>
    <w:p>
      <w:pPr>
        <w:pStyle w:val="style0"/>
      </w:pPr>
      <w:r>
        <w:rPr>
          <w:rFonts w:ascii="Verdana" w:cs="Verdana" w:hAnsi="Verdana"/>
          <w:color w:val="091725"/>
        </w:rPr>
      </w:r>
    </w:p>
    <w:p>
      <w:pPr>
        <w:pStyle w:val="style0"/>
        <w:jc w:val="both"/>
      </w:pPr>
      <w:r>
        <w:rPr>
          <w:rFonts w:ascii="Times New Roman" w:cs="Times New Roman" w:hAnsi="Times New Roman"/>
        </w:rPr>
        <w:t>The Large Binocular Telescope is a facility composed of two mirrors (8.4m) operating to allow the contemporary observation of the same field of view. Italy (25%), Germany and USA are the partners of this collaboration. The available instruments are: LBC (Large Binocular Cameras)</w:t>
      </w:r>
    </w:p>
    <w:p>
      <w:pPr>
        <w:pStyle w:val="style0"/>
        <w:jc w:val="both"/>
      </w:pPr>
      <w:r>
        <w:rPr>
          <w:rFonts w:ascii="Times New Roman" w:cs="Times New Roman" w:hAnsi="Times New Roman"/>
        </w:rPr>
      </w:r>
    </w:p>
    <w:p>
      <w:pPr>
        <w:pStyle w:val="style0"/>
        <w:jc w:val="both"/>
      </w:pPr>
      <w:r>
        <w:rPr>
          <w:rFonts w:ascii="Times New Roman" w:cs="Times New Roman" w:hAnsi="Times New Roman"/>
        </w:rPr>
        <w:t>http://lbt.oa-roma.inaf.it/</w:t>
      </w:r>
    </w:p>
    <w:p>
      <w:pPr>
        <w:pStyle w:val="style0"/>
        <w:jc w:val="both"/>
      </w:pPr>
      <w:r>
        <w:rPr>
          <w:rFonts w:ascii="Times New Roman" w:cs="Times New Roman" w:hAnsi="Times New Roman"/>
        </w:rPr>
      </w:r>
    </w:p>
    <w:p>
      <w:pPr>
        <w:pStyle w:val="style0"/>
        <w:jc w:val="both"/>
      </w:pPr>
      <w:r>
        <w:rPr>
          <w:rFonts w:ascii="Times New Roman" w:cs="Times New Roman" w:hAnsi="Times New Roman"/>
        </w:rPr>
        <w:t>Status: ongoing</w:t>
      </w:r>
    </w:p>
    <w:p>
      <w:pPr>
        <w:pStyle w:val="style0"/>
      </w:pPr>
      <w:r>
        <w:rPr>
          <w:rFonts w:ascii="Times New Roman" w:cs="Times New Roman" w:hAnsi="Times New Roman"/>
          <w:color w:val="365F91"/>
        </w:rPr>
      </w:r>
    </w:p>
    <w:p>
      <w:pPr>
        <w:pStyle w:val="style0"/>
      </w:pPr>
      <w:r>
        <w:rPr>
          <w:rFonts w:ascii="Calibri" w:cs="" w:hAnsi="Calibri"/>
          <w:b/>
          <w:bCs/>
          <w:i/>
          <w:iCs/>
          <w:color w:val="365F91"/>
        </w:rPr>
        <w:t>1) ACCEPTED OBSERVING PROPOSALS (2009-2013):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pPr>
      <w:r>
        <w:rPr>
          <w:rFonts w:ascii="Times New Roman" w:cs="Times New Roman" w:hAnsi="Times New Roman"/>
        </w:rPr>
      </w:r>
    </w:p>
    <w:p>
      <w:pPr>
        <w:pStyle w:val="style0"/>
        <w:ind w:hanging="0" w:left="708" w:right="0"/>
      </w:pPr>
      <w:r>
        <w:rPr>
          <w:rFonts w:ascii="Times New Roman" w:cs="Times New Roman" w:hAnsi="Times New Roman"/>
        </w:rPr>
        <w:t>A. Fontana  (LBT- Italian Coordinator)</w:t>
      </w:r>
    </w:p>
    <w:p>
      <w:pPr>
        <w:pStyle w:val="style0"/>
        <w:jc w:val="both"/>
      </w:pPr>
      <w:r>
        <w:rPr>
          <w:rFonts w:ascii="Times New Roman" w:cs="Times New Roman" w:hAnsi="Times New Roman"/>
          <w:sz w:val="28"/>
          <w:szCs w:val="28"/>
        </w:rPr>
      </w:r>
    </w:p>
    <w:p>
      <w:pPr>
        <w:pStyle w:val="style0"/>
      </w:pPr>
      <w:r>
        <w:rPr>
          <w:rFonts w:ascii="Times New Roman" w:cs="Times New Roman" w:hAnsi="Times New Roman"/>
        </w:rPr>
      </w:r>
    </w:p>
    <w:tbl>
      <w:tblPr>
        <w:jc w:val="left"/>
        <w:tblInd w:type="dxa" w:w="-108"/>
        <w:tblBorders/>
      </w:tblPr>
      <w:tblGrid>
        <w:gridCol w:w="1383"/>
        <w:gridCol w:w="7175"/>
      </w:tblGrid>
      <w:tr>
        <w:trPr>
          <w:trHeight w:hRule="atLeast" w:val="300"/>
          <w:cantSplit w:val="false"/>
        </w:trPr>
        <w:tc>
          <w:tcPr>
            <w:tcW w:type="dxa" w:w="1383"/>
            <w:tcBorders/>
            <w:shd w:fill="auto" w:val="clear"/>
            <w:tcMar>
              <w:top w:type="dxa" w:w="0"/>
              <w:left w:type="dxa" w:w="108"/>
              <w:bottom w:type="dxa" w:w="0"/>
              <w:right w:type="dxa" w:w="108"/>
            </w:tcMar>
          </w:tcPr>
          <w:p>
            <w:pPr>
              <w:pStyle w:val="style0"/>
            </w:pPr>
            <w:r>
              <w:rPr>
                <w:rFonts w:ascii="Times New Roman" w:cs="Times New Roman" w:hAnsi="Times New Roman"/>
                <w:bCs/>
                <w:szCs w:val="22"/>
              </w:rPr>
              <w:t>Categories:</w:t>
            </w:r>
          </w:p>
        </w:tc>
        <w:tc>
          <w:tcPr>
            <w:tcW w:type="dxa" w:w="7175"/>
            <w:gridSpan w:val="2"/>
            <w:tcBorders/>
            <w:shd w:fill="auto" w:val="clear"/>
            <w:tcMar>
              <w:top w:type="dxa" w:w="0"/>
              <w:left w:type="dxa" w:w="108"/>
              <w:bottom w:type="dxa" w:w="0"/>
              <w:right w:type="dxa" w:w="108"/>
            </w:tcMar>
          </w:tcPr>
          <w:p>
            <w:pPr>
              <w:pStyle w:val="style0"/>
              <w:ind w:hanging="0" w:left="207" w:right="0"/>
            </w:pPr>
            <w:r>
              <w:rPr>
                <w:rFonts w:ascii="Times New Roman" w:cs="Times New Roman" w:hAnsi="Times New Roman"/>
                <w:bCs/>
                <w:szCs w:val="22"/>
              </w:rPr>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A</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Cosmology</w:t>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B</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Galaxies and galactic nuclei</w:t>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C</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Interstellar medium, star formation and planetary systems</w:t>
            </w:r>
          </w:p>
        </w:tc>
      </w:tr>
      <w:tr>
        <w:trPr>
          <w:trHeight w:hRule="atLeast" w:val="300"/>
          <w:cantSplit w:val="false"/>
        </w:trPr>
        <w:tc>
          <w:tcPr>
            <w:tcW w:type="dxa" w:w="4279"/>
            <w:gridSpan w:val="2"/>
            <w:tcBorders/>
            <w:shd w:fill="auto" w:val="clear"/>
            <w:tcMar>
              <w:top w:type="dxa" w:w="0"/>
              <w:left w:type="dxa" w:w="108"/>
              <w:bottom w:type="dxa" w:w="0"/>
              <w:right w:type="dxa" w:w="108"/>
            </w:tcMar>
          </w:tcPr>
          <w:p>
            <w:pPr>
              <w:pStyle w:val="style0"/>
            </w:pPr>
            <w:r>
              <w:rPr>
                <w:rFonts w:ascii="Times New Roman" w:cs="Times New Roman" w:hAnsi="Times New Roman"/>
                <w:bCs/>
                <w:szCs w:val="22"/>
              </w:rPr>
              <w:t>D</w:t>
            </w:r>
          </w:p>
        </w:tc>
        <w:tc>
          <w:tcPr>
            <w:tcW w:type="dxa" w:w="4279"/>
            <w:tcBorders/>
            <w:shd w:fill="auto" w:val="clear"/>
            <w:tcMar>
              <w:top w:type="dxa" w:w="0"/>
              <w:left w:type="dxa" w:w="108"/>
              <w:bottom w:type="dxa" w:w="0"/>
              <w:right w:type="dxa" w:w="108"/>
            </w:tcMar>
            <w:vAlign w:val="bottom"/>
          </w:tcPr>
          <w:p>
            <w:pPr>
              <w:pStyle w:val="style0"/>
            </w:pPr>
            <w:r>
              <w:rPr>
                <w:rFonts w:ascii="Times New Roman" w:cs="Times New Roman" w:eastAsia="Times New Roman" w:hAnsi="Times New Roman"/>
                <w:color w:val="000000"/>
              </w:rPr>
              <w:t>Stellar evolution</w:t>
            </w:r>
          </w:p>
        </w:tc>
      </w:tr>
    </w:tbl>
    <w:p>
      <w:pPr>
        <w:pStyle w:val="style0"/>
      </w:pPr>
      <w:r>
        <w:rPr>
          <w:rFonts w:ascii="Times New Roman" w:cs="Times New Roman" w:hAnsi="Times New Roman"/>
        </w:rPr>
      </w:r>
    </w:p>
    <w:p>
      <w:pPr>
        <w:pStyle w:val="style0"/>
      </w:pPr>
      <w:r>
        <w:rPr>
          <w:rFonts w:ascii="Times New Roman" w:cs="Times New Roman" w:hAnsi="Times New Roman"/>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drawing>
          <wp:inline distB="0" distL="0" distR="0" distT="0">
            <wp:extent cx="3769360" cy="11582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6"/>
                    <a:srcRect/>
                    <a:stretch>
                      <a:fillRect/>
                    </a:stretch>
                  </pic:blipFill>
                  <pic:spPr bwMode="auto">
                    <a:xfrm>
                      <a:off x="0" y="0"/>
                      <a:ext cx="3769360" cy="115824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drawing>
          <wp:inline distB="0" distL="0" distR="0" distT="0">
            <wp:extent cx="2874645" cy="11582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7"/>
                    <a:srcRect/>
                    <a:stretch>
                      <a:fillRect/>
                    </a:stretch>
                  </pic:blipFill>
                  <pic:spPr bwMode="auto">
                    <a:xfrm>
                      <a:off x="0" y="0"/>
                      <a:ext cx="2874645" cy="115824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drawing>
          <wp:inline distB="0" distL="0" distR="0" distT="0">
            <wp:extent cx="4592320" cy="27635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8"/>
                    <a:srcRect/>
                    <a:stretch>
                      <a:fillRect/>
                    </a:stretch>
                  </pic:blipFill>
                  <pic:spPr bwMode="auto">
                    <a:xfrm>
                      <a:off x="0" y="0"/>
                      <a:ext cx="4592320" cy="276352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drawing>
          <wp:inline distB="0" distL="0" distR="0" distT="0">
            <wp:extent cx="4592320" cy="27635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9"/>
                    <a:srcRect/>
                    <a:stretch>
                      <a:fillRect/>
                    </a:stretch>
                  </pic:blipFill>
                  <pic:spPr bwMode="auto">
                    <a:xfrm>
                      <a:off x="0" y="0"/>
                      <a:ext cx="4592320" cy="276352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drawing>
          <wp:inline distB="0" distL="0" distR="0" distT="0">
            <wp:extent cx="5270500" cy="263017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0"/>
                    <a:srcRect/>
                    <a:stretch>
                      <a:fillRect/>
                    </a:stretch>
                  </pic:blipFill>
                  <pic:spPr bwMode="auto">
                    <a:xfrm>
                      <a:off x="0" y="0"/>
                      <a:ext cx="5270500" cy="263017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drawing>
          <wp:inline distB="0" distL="0" distR="0" distT="0">
            <wp:extent cx="5270500" cy="277495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1"/>
                    <a:srcRect/>
                    <a:stretch>
                      <a:fillRect/>
                    </a:stretch>
                  </pic:blipFill>
                  <pic:spPr bwMode="auto">
                    <a:xfrm>
                      <a:off x="0" y="0"/>
                      <a:ext cx="5270500" cy="277495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rFonts w:ascii="Times New Roman" w:cs="Times New Roman" w:hAnsi="Times New Roman"/>
          <w:sz w:val="28"/>
          <w:szCs w:val="28"/>
        </w:rPr>
      </w:r>
    </w:p>
    <w:p>
      <w:pPr>
        <w:pStyle w:val="style0"/>
        <w:jc w:val="both"/>
      </w:pPr>
      <w:r>
        <w:rPr/>
        <w:drawing>
          <wp:inline distB="0" distL="0" distR="0" distT="0">
            <wp:extent cx="5270500" cy="92583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2"/>
                    <a:srcRect/>
                    <a:stretch>
                      <a:fillRect/>
                    </a:stretch>
                  </pic:blipFill>
                  <pic:spPr bwMode="auto">
                    <a:xfrm>
                      <a:off x="0" y="0"/>
                      <a:ext cx="5270500" cy="925830"/>
                    </a:xfrm>
                    <a:prstGeom prst="rect">
                      <a:avLst/>
                    </a:prstGeom>
                    <a:noFill/>
                    <a:ln w="9525">
                      <a:noFill/>
                      <a:miter lim="800000"/>
                      <a:headEnd/>
                      <a:tailEnd/>
                    </a:ln>
                  </pic:spPr>
                </pic:pic>
              </a:graphicData>
            </a:graphic>
          </wp:inline>
        </w:drawing>
      </w:r>
    </w:p>
    <w:p>
      <w:pPr>
        <w:pStyle w:val="style0"/>
        <w:pageBreakBefore/>
      </w:pPr>
      <w:r>
        <w:rPr>
          <w:color w:val="365F91"/>
        </w:rPr>
      </w:r>
    </w:p>
    <w:p>
      <w:pPr>
        <w:pStyle w:val="style0"/>
      </w:pPr>
      <w:r>
        <w:rPr>
          <w:rFonts w:ascii="Calibri" w:cs="" w:hAnsi="Calibri"/>
          <w:b/>
          <w:bCs/>
          <w:i/>
          <w:iCs/>
          <w:color w:val="365F91"/>
        </w:rPr>
        <w:t>2) REFEREED PAPERS (2007-2013):</w:t>
      </w:r>
    </w:p>
    <w:p>
      <w:pPr>
        <w:pStyle w:val="style0"/>
      </w:pPr>
      <w:r>
        <w:rPr>
          <w:color w:val="365F91"/>
        </w:rPr>
      </w:r>
    </w:p>
    <w:p>
      <w:pPr>
        <w:pStyle w:val="style0"/>
      </w:pPr>
      <w:r>
        <w:rPr/>
        <w:t>Origin of data:</w:t>
      </w:r>
    </w:p>
    <w:p>
      <w:pPr>
        <w:pStyle w:val="style0"/>
        <w:ind w:firstLine="720" w:left="720" w:right="0"/>
        <w:jc w:val="both"/>
      </w:pPr>
      <w:hyperlink r:id="rId73">
        <w:r>
          <w:rPr>
            <w:rStyle w:val="style17"/>
            <w:rFonts w:ascii="Times New Roman" w:cs="Times New Roman" w:hAnsi="Times New Roman"/>
            <w:sz w:val="28"/>
            <w:szCs w:val="28"/>
          </w:rPr>
          <w:t>http://lbt.oa-roma.inaf.it/science.html</w:t>
        </w:r>
      </w:hyperlink>
    </w:p>
    <w:p>
      <w:pPr>
        <w:pStyle w:val="style0"/>
        <w:jc w:val="both"/>
      </w:pPr>
      <w:r>
        <w:rPr>
          <w:rFonts w:ascii="Times New Roman" w:cs="Times New Roman" w:hAnsi="Times New Roman"/>
          <w:sz w:val="28"/>
          <w:szCs w:val="28"/>
        </w:rPr>
      </w:r>
    </w:p>
    <w:p>
      <w:pPr>
        <w:pStyle w:val="style0"/>
      </w:pPr>
      <w:r>
        <w:rPr/>
        <w:drawing>
          <wp:inline distB="0" distL="0" distR="0" distT="0">
            <wp:extent cx="3962400" cy="13309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4"/>
                    <a:srcRect/>
                    <a:stretch>
                      <a:fillRect/>
                    </a:stretch>
                  </pic:blipFill>
                  <pic:spPr bwMode="auto">
                    <a:xfrm>
                      <a:off x="0" y="0"/>
                      <a:ext cx="3962400" cy="133096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drawing>
          <wp:inline distB="0" distL="0" distR="0" distT="0">
            <wp:extent cx="4592320" cy="27635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5"/>
                    <a:srcRect/>
                    <a:stretch>
                      <a:fillRect/>
                    </a:stretch>
                  </pic:blipFill>
                  <pic:spPr bwMode="auto">
                    <a:xfrm>
                      <a:off x="0" y="0"/>
                      <a:ext cx="4592320" cy="276352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drawing>
          <wp:inline distB="0" distL="0" distR="0" distT="0">
            <wp:extent cx="4673600" cy="31394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6"/>
                    <a:srcRect/>
                    <a:stretch>
                      <a:fillRect/>
                    </a:stretch>
                  </pic:blipFill>
                  <pic:spPr bwMode="auto">
                    <a:xfrm>
                      <a:off x="0" y="0"/>
                      <a:ext cx="4673600" cy="313944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sz w:val="28"/>
          <w:szCs w:val="28"/>
        </w:rPr>
      </w:r>
    </w:p>
    <w:p>
      <w:pPr>
        <w:pStyle w:val="style0"/>
      </w:pPr>
      <w:r>
        <w:rPr>
          <w:rFonts w:ascii="Times New Roman" w:cs="Times New Roman" w:hAnsi="Times New Roman"/>
          <w:sz w:val="28"/>
          <w:szCs w:val="28"/>
        </w:rPr>
      </w:r>
    </w:p>
    <w:p>
      <w:pPr>
        <w:pStyle w:val="style1"/>
      </w:pPr>
      <w:r>
        <w:rPr/>
        <w:t>Ground facility  3 :  Radio Telescopes</w:t>
      </w:r>
    </w:p>
    <w:p>
      <w:pPr>
        <w:pStyle w:val="style0"/>
      </w:pPr>
      <w:r>
        <w:rPr>
          <w:rFonts w:ascii="Times New Roman" w:cs="Times New Roman" w:hAnsi="Times New Roman"/>
        </w:rPr>
      </w:r>
    </w:p>
    <w:p>
      <w:pPr>
        <w:pStyle w:val="style0"/>
      </w:pPr>
      <w:r>
        <w:rPr>
          <w:rFonts w:ascii="Verdana" w:cs="Verdana" w:hAnsi="Verdana"/>
          <w:b/>
          <w:bCs/>
          <w:i/>
          <w:color w:val="091725"/>
        </w:rPr>
        <w:t xml:space="preserve">Radio Telescopes </w:t>
      </w:r>
    </w:p>
    <w:p>
      <w:pPr>
        <w:pStyle w:val="style0"/>
      </w:pPr>
      <w:r>
        <w:rPr>
          <w:rFonts w:ascii="Verdana" w:cs="Verdana" w:hAnsi="Verdana"/>
          <w:color w:val="091725"/>
        </w:rPr>
      </w:r>
    </w:p>
    <w:p>
      <w:pPr>
        <w:pStyle w:val="style0"/>
        <w:jc w:val="both"/>
      </w:pPr>
      <w:r>
        <w:rPr>
          <w:rFonts w:ascii="Times New Roman" w:cs="Times New Roman" w:hAnsi="Times New Roman"/>
        </w:rPr>
        <w:t xml:space="preserve">The radio telescope facilities considered are the two 32-m single dish antennas located in Medicina and Noto (Sicily). The SRT (Sardinia Radio Telescope, 64-m antenna) is under construction in Sardinia and the "Northern Cross Radiotelescope" is under a substantial upgrading. Thus these two facilities are not considered here. </w:t>
      </w:r>
    </w:p>
    <w:p>
      <w:pPr>
        <w:pStyle w:val="style0"/>
        <w:jc w:val="both"/>
      </w:pPr>
      <w:r>
        <w:rPr>
          <w:rFonts w:ascii="Times New Roman" w:cs="Times New Roman" w:hAnsi="Times New Roman"/>
        </w:rPr>
        <w:t>Status: ongoing</w:t>
      </w:r>
    </w:p>
    <w:p>
      <w:pPr>
        <w:pStyle w:val="style0"/>
      </w:pPr>
      <w:r>
        <w:rPr>
          <w:rFonts w:ascii="Times New Roman" w:cs="Times New Roman" w:hAnsi="Times New Roman"/>
          <w:color w:val="365F91"/>
        </w:rPr>
      </w:r>
    </w:p>
    <w:p>
      <w:pPr>
        <w:pStyle w:val="style0"/>
      </w:pPr>
      <w:r>
        <w:rPr>
          <w:rFonts w:ascii="Calibri" w:cs="" w:hAnsi="Calibri"/>
          <w:b/>
          <w:bCs/>
          <w:i/>
          <w:iCs/>
          <w:color w:val="365F91"/>
        </w:rPr>
        <w:t>1) ACCEPTED OBSERVING PROPOSALS (2012-2013):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jc w:val="both"/>
      </w:pPr>
      <w:r>
        <w:rPr>
          <w:rFonts w:ascii="Times New Roman" w:cs="Times New Roman" w:hAnsi="Times New Roman"/>
        </w:rPr>
      </w:r>
    </w:p>
    <w:p>
      <w:pPr>
        <w:pStyle w:val="style0"/>
        <w:ind w:hanging="0" w:left="708" w:right="0"/>
        <w:jc w:val="both"/>
      </w:pPr>
      <w:r>
        <w:rPr>
          <w:rFonts w:ascii="Times New Roman" w:cs="Times New Roman" w:hAnsi="Times New Roman"/>
        </w:rPr>
        <w:t>The data concerning the accepted observing proposals are kindly provided by C. Stanghellini  (INAF-IRA). It should be recalled that the “Single dish” data could suffer of a bias due to the unavailability of the highly requested receiver in the K band (moved to SRT).</w:t>
      </w:r>
    </w:p>
    <w:p>
      <w:pPr>
        <w:pStyle w:val="style0"/>
        <w:ind w:hanging="0" w:left="708" w:right="0"/>
      </w:pPr>
      <w:r>
        <w:rPr>
          <w:rFonts w:ascii="Times New Roman" w:cs="Times New Roman" w:hAnsi="Times New Roman"/>
        </w:rPr>
      </w:r>
    </w:p>
    <w:p>
      <w:pPr>
        <w:pStyle w:val="style0"/>
        <w:ind w:hanging="0" w:left="708" w:right="0"/>
      </w:pPr>
      <w:r>
        <w:rPr>
          <w:rFonts w:ascii="Times New Roman" w:cs="Times New Roman" w:hAnsi="Times New Roman"/>
        </w:rPr>
      </w:r>
    </w:p>
    <w:p>
      <w:pPr>
        <w:pStyle w:val="style0"/>
      </w:pPr>
      <w:r>
        <w:rPr>
          <w:rFonts w:ascii="Times New Roman" w:cs="Times New Roman" w:hAnsi="Times New Roman"/>
        </w:rPr>
      </w:r>
    </w:p>
    <w:p>
      <w:pPr>
        <w:pStyle w:val="style0"/>
      </w:pPr>
      <w:r>
        <w:rPr/>
        <w:drawing>
          <wp:inline distB="0" distL="0" distR="0" distT="0">
            <wp:extent cx="4927600" cy="21336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7"/>
                    <a:srcRect/>
                    <a:stretch>
                      <a:fillRect/>
                    </a:stretch>
                  </pic:blipFill>
                  <pic:spPr bwMode="auto">
                    <a:xfrm>
                      <a:off x="0" y="0"/>
                      <a:ext cx="4927600" cy="213360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171440" cy="21336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8"/>
                    <a:srcRect/>
                    <a:stretch>
                      <a:fillRect/>
                    </a:stretch>
                  </pic:blipFill>
                  <pic:spPr bwMode="auto">
                    <a:xfrm>
                      <a:off x="0" y="0"/>
                      <a:ext cx="5171440" cy="213360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270500" cy="29895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79"/>
                    <a:srcRect/>
                    <a:stretch>
                      <a:fillRect/>
                    </a:stretch>
                  </pic:blipFill>
                  <pic:spPr bwMode="auto">
                    <a:xfrm>
                      <a:off x="0" y="0"/>
                      <a:ext cx="5270500" cy="2989580"/>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drawing>
          <wp:inline distB="0" distL="0" distR="0" distT="0">
            <wp:extent cx="5270500" cy="29190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0"/>
                    <a:srcRect/>
                    <a:stretch>
                      <a:fillRect/>
                    </a:stretch>
                  </pic:blipFill>
                  <pic:spPr bwMode="auto">
                    <a:xfrm>
                      <a:off x="0" y="0"/>
                      <a:ext cx="5270500" cy="2919095"/>
                    </a:xfrm>
                    <a:prstGeom prst="rect">
                      <a:avLst/>
                    </a:prstGeom>
                    <a:noFill/>
                    <a:ln w="9525">
                      <a:noFill/>
                      <a:miter lim="800000"/>
                      <a:headEnd/>
                      <a:tailEnd/>
                    </a:ln>
                  </pic:spPr>
                </pic:pic>
              </a:graphicData>
            </a:graphic>
          </wp:inline>
        </w:drawing>
      </w:r>
    </w:p>
    <w:p>
      <w:pPr>
        <w:pStyle w:val="style0"/>
      </w:pPr>
      <w:r>
        <w:rPr>
          <w:rFonts w:ascii="Times New Roman" w:cs="Times New Roman" w:hAnsi="Times New Roman"/>
        </w:rPr>
      </w:r>
    </w:p>
    <w:p>
      <w:pPr>
        <w:pStyle w:val="style0"/>
      </w:pPr>
      <w:r>
        <w:rPr>
          <w:rFonts w:ascii="Times New Roman" w:cs="Times New Roman" w:hAnsi="Times New Roman"/>
        </w:rPr>
      </w:r>
    </w:p>
    <w:p>
      <w:pPr>
        <w:pStyle w:val="style0"/>
      </w:pPr>
      <w:r>
        <w:rPr>
          <w:rFonts w:ascii="Times New Roman" w:cs="Times New Roman" w:hAnsi="Times New Roman"/>
          <w:color w:val="365F91"/>
        </w:rPr>
      </w:r>
    </w:p>
    <w:p>
      <w:pPr>
        <w:pStyle w:val="style0"/>
      </w:pPr>
      <w:r>
        <w:rPr>
          <w:rFonts w:ascii="Calibri" w:cs="" w:hAnsi="Calibri"/>
          <w:b/>
          <w:bCs/>
          <w:i/>
          <w:iCs/>
          <w:color w:val="365F91"/>
        </w:rPr>
        <w:t>2) REFEREED PAPERS (2008-2012):</w:t>
      </w:r>
    </w:p>
    <w:p>
      <w:pPr>
        <w:pStyle w:val="style0"/>
      </w:pPr>
      <w:r>
        <w:rPr/>
      </w:r>
    </w:p>
    <w:p>
      <w:pPr>
        <w:pStyle w:val="style0"/>
      </w:pPr>
      <w:r>
        <w:rPr/>
        <w:t>Origin of data:</w:t>
      </w:r>
    </w:p>
    <w:p>
      <w:pPr>
        <w:pStyle w:val="style0"/>
        <w:ind w:hanging="0" w:left="1440" w:right="0"/>
      </w:pPr>
      <w:r>
        <w:rPr>
          <w:rFonts w:ascii="Calibri" w:hAnsi="Calibri"/>
          <w:color w:val="000000"/>
        </w:rPr>
        <w:t xml:space="preserve">Single dish : </w:t>
      </w:r>
      <w:hyperlink r:id="rId81">
        <w:r>
          <w:rPr>
            <w:rStyle w:val="style17"/>
            <w:rFonts w:ascii="Calibri" w:hAnsi="Calibri"/>
          </w:rPr>
          <w:t>http://www.ira.inaf.it/~brand/medicina-pubs.html</w:t>
        </w:r>
      </w:hyperlink>
    </w:p>
    <w:p>
      <w:pPr>
        <w:pStyle w:val="style0"/>
        <w:ind w:hanging="0" w:left="1440" w:right="0"/>
      </w:pPr>
      <w:r>
        <w:rPr>
          <w:rFonts w:ascii="Calibri" w:hAnsi="Calibri"/>
          <w:color w:val="000000"/>
        </w:rPr>
        <w:t xml:space="preserve">VLBI :  </w:t>
      </w:r>
      <w:hyperlink r:id="rId82">
        <w:r>
          <w:rPr>
            <w:rStyle w:val="style17"/>
            <w:rFonts w:ascii="Calibri" w:hAnsi="Calibri"/>
          </w:rPr>
          <w:t>http://www.ira.inaf.it/%7Emgirolet/pubs/vlbi.html</w:t>
        </w:r>
      </w:hyperlink>
    </w:p>
    <w:p>
      <w:pPr>
        <w:pStyle w:val="style0"/>
        <w:ind w:hanging="0" w:left="1440" w:right="0"/>
      </w:pPr>
      <w:r>
        <w:rPr/>
      </w:r>
    </w:p>
    <w:p>
      <w:pPr>
        <w:pStyle w:val="style0"/>
        <w:ind w:firstLine="720" w:left="0" w:right="0"/>
        <w:jc w:val="both"/>
      </w:pPr>
      <w:r>
        <w:rPr/>
      </w:r>
    </w:p>
    <w:p>
      <w:pPr>
        <w:pStyle w:val="style0"/>
        <w:jc w:val="both"/>
      </w:pPr>
      <w:r>
        <w:rPr/>
        <w:drawing>
          <wp:inline distB="0" distL="0" distR="0" distT="0">
            <wp:extent cx="4216400" cy="13512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3"/>
                    <a:srcRect/>
                    <a:stretch>
                      <a:fillRect/>
                    </a:stretch>
                  </pic:blipFill>
                  <pic:spPr bwMode="auto">
                    <a:xfrm>
                      <a:off x="0" y="0"/>
                      <a:ext cx="4216400" cy="1351280"/>
                    </a:xfrm>
                    <a:prstGeom prst="rect">
                      <a:avLst/>
                    </a:prstGeom>
                    <a:noFill/>
                    <a:ln w="9525">
                      <a:noFill/>
                      <a:miter lim="800000"/>
                      <a:headEnd/>
                      <a:tailEnd/>
                    </a:ln>
                  </pic:spPr>
                </pic:pic>
              </a:graphicData>
            </a:graphic>
          </wp:inline>
        </w:drawing>
      </w:r>
    </w:p>
    <w:p>
      <w:pPr>
        <w:pStyle w:val="style0"/>
        <w:jc w:val="both"/>
      </w:pPr>
      <w:r>
        <w:rPr/>
      </w:r>
    </w:p>
    <w:p>
      <w:pPr>
        <w:pStyle w:val="style0"/>
        <w:jc w:val="both"/>
      </w:pPr>
      <w:r>
        <w:rPr/>
      </w:r>
    </w:p>
    <w:p>
      <w:pPr>
        <w:pStyle w:val="style0"/>
        <w:jc w:val="both"/>
      </w:pPr>
      <w:r>
        <w:rPr/>
      </w:r>
    </w:p>
    <w:p>
      <w:pPr>
        <w:pStyle w:val="style0"/>
        <w:jc w:val="both"/>
      </w:pPr>
      <w:r>
        <w:rPr/>
        <w:drawing>
          <wp:inline distB="0" distL="0" distR="0" distT="0">
            <wp:extent cx="4714240" cy="135128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4"/>
                    <a:srcRect/>
                    <a:stretch>
                      <a:fillRect/>
                    </a:stretch>
                  </pic:blipFill>
                  <pic:spPr bwMode="auto">
                    <a:xfrm>
                      <a:off x="0" y="0"/>
                      <a:ext cx="4714240" cy="135128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drawing>
          <wp:inline distB="0" distL="0" distR="0" distT="0">
            <wp:extent cx="4592320" cy="27635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5"/>
                    <a:srcRect/>
                    <a:stretch>
                      <a:fillRect/>
                    </a:stretch>
                  </pic:blipFill>
                  <pic:spPr bwMode="auto">
                    <a:xfrm>
                      <a:off x="0" y="0"/>
                      <a:ext cx="4592320" cy="276352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drawing>
          <wp:inline distB="0" distL="0" distR="0" distT="0">
            <wp:extent cx="4592320" cy="276352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6"/>
                    <a:srcRect/>
                    <a:stretch>
                      <a:fillRect/>
                    </a:stretch>
                  </pic:blipFill>
                  <pic:spPr bwMode="auto">
                    <a:xfrm>
                      <a:off x="0" y="0"/>
                      <a:ext cx="4592320" cy="276352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drawing>
          <wp:inline distB="0" distL="0" distR="0" distT="0">
            <wp:extent cx="5270500" cy="261556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7"/>
                    <a:srcRect/>
                    <a:stretch>
                      <a:fillRect/>
                    </a:stretch>
                  </pic:blipFill>
                  <pic:spPr bwMode="auto">
                    <a:xfrm>
                      <a:off x="0" y="0"/>
                      <a:ext cx="5270500" cy="261556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sz w:val="28"/>
          <w:szCs w:val="28"/>
        </w:rPr>
      </w:r>
    </w:p>
    <w:p>
      <w:pPr>
        <w:pStyle w:val="style0"/>
        <w:jc w:val="both"/>
      </w:pPr>
      <w:r>
        <w:rPr/>
        <w:drawing>
          <wp:inline distB="0" distL="0" distR="0" distT="0">
            <wp:extent cx="5270500" cy="261556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88"/>
                    <a:srcRect/>
                    <a:stretch>
                      <a:fillRect/>
                    </a:stretch>
                  </pic:blipFill>
                  <pic:spPr bwMode="auto">
                    <a:xfrm>
                      <a:off x="0" y="0"/>
                      <a:ext cx="5270500" cy="2615565"/>
                    </a:xfrm>
                    <a:prstGeom prst="rect">
                      <a:avLst/>
                    </a:prstGeom>
                    <a:noFill/>
                    <a:ln w="9525">
                      <a:noFill/>
                      <a:miter lim="800000"/>
                      <a:headEnd/>
                      <a:tailEnd/>
                    </a:ln>
                  </pic:spPr>
                </pic:pic>
              </a:graphicData>
            </a:graphic>
          </wp:inline>
        </w:drawing>
      </w:r>
    </w:p>
    <w:p>
      <w:pPr>
        <w:pStyle w:val="style1"/>
        <w:pageBreakBefore/>
      </w:pPr>
      <w:r>
        <w:rPr/>
        <w:t>Ground facility  4 :  ESO Telescopes</w:t>
      </w:r>
    </w:p>
    <w:p>
      <w:pPr>
        <w:pStyle w:val="style0"/>
      </w:pPr>
      <w:r>
        <w:rPr>
          <w:rFonts w:ascii="Times New Roman" w:cs="Times New Roman" w:hAnsi="Times New Roman"/>
        </w:rPr>
      </w:r>
    </w:p>
    <w:p>
      <w:pPr>
        <w:pStyle w:val="style0"/>
      </w:pPr>
      <w:r>
        <w:rPr>
          <w:rFonts w:ascii="Verdana" w:cs="Verdana" w:hAnsi="Verdana"/>
          <w:b/>
          <w:bCs/>
          <w:i/>
          <w:color w:val="091725"/>
        </w:rPr>
        <w:t xml:space="preserve">European Southern Observatory </w:t>
      </w:r>
    </w:p>
    <w:p>
      <w:pPr>
        <w:pStyle w:val="style0"/>
      </w:pPr>
      <w:r>
        <w:rPr>
          <w:rFonts w:ascii="Verdana" w:cs="Verdana" w:hAnsi="Verdana"/>
          <w:color w:val="091725"/>
        </w:rPr>
      </w:r>
    </w:p>
    <w:p>
      <w:pPr>
        <w:pStyle w:val="style0"/>
        <w:jc w:val="both"/>
      </w:pPr>
      <w:r>
        <w:rPr>
          <w:rFonts w:ascii="Times New Roman" w:cs="Times New Roman" w:hAnsi="Times New Roman"/>
        </w:rPr>
        <w:t>The ESO ground facilities widely contribute to the success of the Italian community in producing high-level results in several astronomical fields. Thus, a short non-exhaustive view on the use of ESO telescope and instruments by Italian researchers is presented.</w:t>
      </w:r>
    </w:p>
    <w:p>
      <w:pPr>
        <w:pStyle w:val="style0"/>
        <w:jc w:val="both"/>
      </w:pPr>
      <w:r>
        <w:rPr>
          <w:rFonts w:ascii="Times New Roman" w:cs="Times New Roman" w:hAnsi="Times New Roman"/>
        </w:rPr>
        <w:t xml:space="preserve">Information on ESO telescopes and instruments can be found here: </w:t>
      </w:r>
      <w:hyperlink r:id="rId89">
        <w:r>
          <w:rPr>
            <w:rStyle w:val="style17"/>
            <w:rFonts w:ascii="Times New Roman" w:cs="Times New Roman" w:hAnsi="Times New Roman"/>
          </w:rPr>
          <w:t>http://www.eso.org/sci/facilities.html</w:t>
        </w:r>
      </w:hyperlink>
    </w:p>
    <w:p>
      <w:pPr>
        <w:pStyle w:val="style0"/>
        <w:jc w:val="both"/>
      </w:pPr>
      <w:r>
        <w:rPr>
          <w:rFonts w:ascii="Times New Roman" w:cs="Times New Roman" w:hAnsi="Times New Roman"/>
        </w:rPr>
      </w:r>
    </w:p>
    <w:p>
      <w:pPr>
        <w:pStyle w:val="style0"/>
        <w:jc w:val="both"/>
      </w:pPr>
      <w:r>
        <w:rPr>
          <w:rFonts w:ascii="Times New Roman" w:cs="Times New Roman" w:hAnsi="Times New Roman"/>
        </w:rPr>
        <w:t>Status: ongoing</w:t>
      </w:r>
    </w:p>
    <w:p>
      <w:pPr>
        <w:pStyle w:val="style0"/>
      </w:pPr>
      <w:r>
        <w:rPr>
          <w:rFonts w:ascii="Times New Roman" w:cs="Times New Roman" w:hAnsi="Times New Roman"/>
        </w:rPr>
      </w:r>
    </w:p>
    <w:p>
      <w:pPr>
        <w:pStyle w:val="style0"/>
      </w:pPr>
      <w:r>
        <w:rPr>
          <w:rFonts w:ascii="Calibri" w:cs="" w:hAnsi="Calibri"/>
          <w:b/>
          <w:bCs/>
          <w:i/>
          <w:iCs/>
          <w:color w:val="365F91"/>
        </w:rPr>
        <w:t>1) ACCEPTED OBSERVING PROPOSALS (2012-2013):</w:t>
      </w:r>
    </w:p>
    <w:p>
      <w:pPr>
        <w:pStyle w:val="style0"/>
      </w:pPr>
      <w:r>
        <w:rPr>
          <w:rFonts w:ascii="Times New Roman" w:cs="Times New Roman" w:hAnsi="Times New Roman"/>
        </w:rPr>
      </w:r>
    </w:p>
    <w:p>
      <w:pPr>
        <w:pStyle w:val="style0"/>
      </w:pPr>
      <w:r>
        <w:rPr>
          <w:rFonts w:ascii="Times New Roman" w:cs="Times New Roman" w:hAnsi="Times New Roman"/>
        </w:rPr>
        <w:t>Origin of data:</w:t>
      </w:r>
    </w:p>
    <w:p>
      <w:pPr>
        <w:pStyle w:val="style0"/>
        <w:jc w:val="both"/>
      </w:pPr>
      <w:r>
        <w:rPr>
          <w:rFonts w:ascii="Times New Roman" w:cs="Times New Roman" w:hAnsi="Times New Roman"/>
          <w:sz w:val="28"/>
          <w:szCs w:val="28"/>
        </w:rPr>
        <w:tab/>
        <w:tab/>
      </w:r>
      <w:r>
        <w:rPr>
          <w:rFonts w:ascii="Times New Roman" w:cs="Times New Roman" w:hAnsi="Times New Roman"/>
        </w:rPr>
        <w:t>F. Patat (ESO, Observing Programmes Office)</w:t>
      </w:r>
    </w:p>
    <w:p>
      <w:pPr>
        <w:pStyle w:val="style0"/>
        <w:jc w:val="both"/>
      </w:pPr>
      <w:r>
        <w:rPr>
          <w:rFonts w:ascii="Times New Roman" w:cs="Times New Roman" w:hAnsi="Times New Roman"/>
        </w:rPr>
      </w:r>
    </w:p>
    <w:p>
      <w:pPr>
        <w:pStyle w:val="style0"/>
        <w:jc w:val="both"/>
      </w:pPr>
      <w:r>
        <w:rPr/>
        <w:drawing>
          <wp:inline distB="0" distL="0" distR="0" distT="0">
            <wp:extent cx="4794885" cy="54248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0"/>
                    <a:srcRect/>
                    <a:stretch>
                      <a:fillRect/>
                    </a:stretch>
                  </pic:blipFill>
                  <pic:spPr bwMode="auto">
                    <a:xfrm>
                      <a:off x="0" y="0"/>
                      <a:ext cx="4794885" cy="542480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drawing>
          <wp:inline distB="0" distL="0" distR="0" distT="0">
            <wp:extent cx="4683760" cy="11074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1"/>
                    <a:srcRect/>
                    <a:stretch>
                      <a:fillRect/>
                    </a:stretch>
                  </pic:blipFill>
                  <pic:spPr bwMode="auto">
                    <a:xfrm>
                      <a:off x="0" y="0"/>
                      <a:ext cx="4683760" cy="110744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4632960" cy="36576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2"/>
                    <a:srcRect/>
                    <a:stretch>
                      <a:fillRect/>
                    </a:stretch>
                  </pic:blipFill>
                  <pic:spPr bwMode="auto">
                    <a:xfrm>
                      <a:off x="0" y="0"/>
                      <a:ext cx="4632960" cy="365760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drawing>
          <wp:inline distB="0" distL="0" distR="0" distT="0">
            <wp:extent cx="5270500" cy="250507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3"/>
                    <a:srcRect/>
                    <a:stretch>
                      <a:fillRect/>
                    </a:stretch>
                  </pic:blipFill>
                  <pic:spPr bwMode="auto">
                    <a:xfrm>
                      <a:off x="0" y="0"/>
                      <a:ext cx="5270500" cy="250507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23977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4"/>
                    <a:srcRect/>
                    <a:stretch>
                      <a:fillRect/>
                    </a:stretch>
                  </pic:blipFill>
                  <pic:spPr bwMode="auto">
                    <a:xfrm>
                      <a:off x="0" y="0"/>
                      <a:ext cx="5270500" cy="239776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4663440" cy="232600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5"/>
                    <a:srcRect/>
                    <a:stretch>
                      <a:fillRect/>
                    </a:stretch>
                  </pic:blipFill>
                  <pic:spPr bwMode="auto">
                    <a:xfrm>
                      <a:off x="0" y="0"/>
                      <a:ext cx="4663440" cy="232600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37318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6"/>
                    <a:srcRect/>
                    <a:stretch>
                      <a:fillRect/>
                    </a:stretch>
                  </pic:blipFill>
                  <pic:spPr bwMode="auto">
                    <a:xfrm>
                      <a:off x="0" y="0"/>
                      <a:ext cx="5270500" cy="3731895"/>
                    </a:xfrm>
                    <a:prstGeom prst="rect">
                      <a:avLst/>
                    </a:prstGeom>
                    <a:noFill/>
                    <a:ln w="9525">
                      <a:noFill/>
                      <a:miter lim="800000"/>
                      <a:headEnd/>
                      <a:tailEnd/>
                    </a:ln>
                  </pic:spPr>
                </pic:pic>
              </a:graphicData>
            </a:graphic>
          </wp:inline>
        </w:drawing>
      </w:r>
    </w:p>
    <w:p>
      <w:pPr>
        <w:pStyle w:val="style0"/>
        <w:jc w:val="both"/>
      </w:pPr>
      <w:r>
        <w:rPr/>
        <w:drawing>
          <wp:inline distB="0" distL="0" distR="0" distT="0">
            <wp:extent cx="5270500" cy="37318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7"/>
                    <a:srcRect/>
                    <a:stretch>
                      <a:fillRect/>
                    </a:stretch>
                  </pic:blipFill>
                  <pic:spPr bwMode="auto">
                    <a:xfrm>
                      <a:off x="0" y="0"/>
                      <a:ext cx="5270500" cy="373189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4585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8"/>
                    <a:srcRect/>
                    <a:stretch>
                      <a:fillRect/>
                    </a:stretch>
                  </pic:blipFill>
                  <pic:spPr bwMode="auto">
                    <a:xfrm>
                      <a:off x="0" y="0"/>
                      <a:ext cx="5270500" cy="145859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4585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99"/>
                    <a:srcRect/>
                    <a:stretch>
                      <a:fillRect/>
                    </a:stretch>
                  </pic:blipFill>
                  <pic:spPr bwMode="auto">
                    <a:xfrm>
                      <a:off x="0" y="0"/>
                      <a:ext cx="5270500" cy="145859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4585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0"/>
                    <a:srcRect/>
                    <a:stretch>
                      <a:fillRect/>
                    </a:stretch>
                  </pic:blipFill>
                  <pic:spPr bwMode="auto">
                    <a:xfrm>
                      <a:off x="0" y="0"/>
                      <a:ext cx="5270500" cy="1458595"/>
                    </a:xfrm>
                    <a:prstGeom prst="rect">
                      <a:avLst/>
                    </a:prstGeom>
                    <a:noFill/>
                    <a:ln w="9525">
                      <a:noFill/>
                      <a:miter lim="800000"/>
                      <a:headEnd/>
                      <a:tailEnd/>
                    </a:ln>
                  </pic:spPr>
                </pic:pic>
              </a:graphicData>
            </a:graphic>
          </wp:inline>
        </w:drawing>
      </w:r>
    </w:p>
    <w:p>
      <w:pPr>
        <w:pStyle w:val="style0"/>
        <w:jc w:val="both"/>
      </w:pPr>
      <w:r>
        <w:rPr/>
      </w:r>
    </w:p>
    <w:p>
      <w:pPr>
        <w:pStyle w:val="style0"/>
        <w:jc w:val="both"/>
      </w:pPr>
      <w:r>
        <w:rPr/>
        <w:drawing>
          <wp:inline distB="0" distL="0" distR="0" distT="0">
            <wp:extent cx="3692525" cy="21717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1"/>
                    <a:srcRect/>
                    <a:stretch>
                      <a:fillRect/>
                    </a:stretch>
                  </pic:blipFill>
                  <pic:spPr bwMode="auto">
                    <a:xfrm>
                      <a:off x="0" y="0"/>
                      <a:ext cx="3692525" cy="217170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2420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2"/>
                    <a:srcRect/>
                    <a:stretch>
                      <a:fillRect/>
                    </a:stretch>
                  </pic:blipFill>
                  <pic:spPr bwMode="auto">
                    <a:xfrm>
                      <a:off x="0" y="0"/>
                      <a:ext cx="5270500" cy="124206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drawing>
          <wp:inline distB="0" distL="0" distR="0" distT="0">
            <wp:extent cx="4785360" cy="34442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3"/>
                    <a:srcRect/>
                    <a:stretch>
                      <a:fillRect/>
                    </a:stretch>
                  </pic:blipFill>
                  <pic:spPr bwMode="auto">
                    <a:xfrm>
                      <a:off x="0" y="0"/>
                      <a:ext cx="4785360" cy="344424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4785360" cy="34442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4"/>
                    <a:srcRect/>
                    <a:stretch>
                      <a:fillRect/>
                    </a:stretch>
                  </pic:blipFill>
                  <pic:spPr bwMode="auto">
                    <a:xfrm>
                      <a:off x="0" y="0"/>
                      <a:ext cx="4785360" cy="344424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4785360" cy="34442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5"/>
                    <a:srcRect/>
                    <a:stretch>
                      <a:fillRect/>
                    </a:stretch>
                  </pic:blipFill>
                  <pic:spPr bwMode="auto">
                    <a:xfrm>
                      <a:off x="0" y="0"/>
                      <a:ext cx="4785360" cy="344424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drawing>
          <wp:inline distB="0" distL="0" distR="0" distT="0">
            <wp:extent cx="5270500" cy="145034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6"/>
                    <a:srcRect/>
                    <a:stretch>
                      <a:fillRect/>
                    </a:stretch>
                  </pic:blipFill>
                  <pic:spPr bwMode="auto">
                    <a:xfrm>
                      <a:off x="0" y="0"/>
                      <a:ext cx="5270500" cy="145034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11125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7"/>
                    <a:srcRect/>
                    <a:stretch>
                      <a:fillRect/>
                    </a:stretch>
                  </pic:blipFill>
                  <pic:spPr bwMode="auto">
                    <a:xfrm>
                      <a:off x="0" y="0"/>
                      <a:ext cx="5270500" cy="111125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11125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8"/>
                    <a:srcRect/>
                    <a:stretch>
                      <a:fillRect/>
                    </a:stretch>
                  </pic:blipFill>
                  <pic:spPr bwMode="auto">
                    <a:xfrm>
                      <a:off x="0" y="0"/>
                      <a:ext cx="5270500" cy="111125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11125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09"/>
                    <a:srcRect/>
                    <a:stretch>
                      <a:fillRect/>
                    </a:stretch>
                  </pic:blipFill>
                  <pic:spPr bwMode="auto">
                    <a:xfrm>
                      <a:off x="0" y="0"/>
                      <a:ext cx="5270500" cy="111125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drawing>
          <wp:inline distB="0" distL="0" distR="0" distT="0">
            <wp:extent cx="5270500" cy="111125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0"/>
                    <a:srcRect/>
                    <a:stretch>
                      <a:fillRect/>
                    </a:stretch>
                  </pic:blipFill>
                  <pic:spPr bwMode="auto">
                    <a:xfrm>
                      <a:off x="0" y="0"/>
                      <a:ext cx="5270500" cy="1111250"/>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pPr>
      <w:r>
        <w:rPr>
          <w:rFonts w:ascii="Calibri" w:cs="" w:hAnsi="Calibri"/>
          <w:b/>
          <w:bCs/>
          <w:i/>
          <w:iCs/>
          <w:color w:val="4F81BD"/>
        </w:rPr>
      </w:r>
    </w:p>
    <w:p>
      <w:pPr>
        <w:pStyle w:val="style0"/>
        <w:pageBreakBefore/>
      </w:pPr>
      <w:r>
        <w:rPr>
          <w:rFonts w:ascii="Calibri" w:cs="" w:hAnsi="Calibri"/>
          <w:b/>
          <w:bCs/>
          <w:i/>
          <w:iCs/>
          <w:color w:val="365F91"/>
        </w:rPr>
        <w:t>2) REFEREED PAPERS (2008-2013):</w:t>
      </w:r>
    </w:p>
    <w:p>
      <w:pPr>
        <w:pStyle w:val="style0"/>
      </w:pPr>
      <w:r>
        <w:rPr/>
        <w:t>Origin of data:</w:t>
      </w:r>
    </w:p>
    <w:p>
      <w:pPr>
        <w:pStyle w:val="style0"/>
      </w:pPr>
      <w:r>
        <w:rPr/>
      </w:r>
    </w:p>
    <w:p>
      <w:pPr>
        <w:pStyle w:val="style37"/>
        <w:numPr>
          <w:ilvl w:val="2"/>
          <w:numId w:val="3"/>
        </w:numPr>
      </w:pPr>
      <w:hyperlink r:id="rId111">
        <w:r>
          <w:rPr>
            <w:rStyle w:val="style17"/>
          </w:rPr>
          <w:t>http://telbib.eso.org/</w:t>
        </w:r>
      </w:hyperlink>
    </w:p>
    <w:p>
      <w:pPr>
        <w:pStyle w:val="style37"/>
        <w:numPr>
          <w:ilvl w:val="1"/>
          <w:numId w:val="3"/>
        </w:numPr>
      </w:pPr>
      <w:r>
        <w:rPr>
          <w:rFonts w:ascii="Times New Roman" w:cs="Times New Roman" w:hAnsi="Times New Roman"/>
        </w:rPr>
        <w:t xml:space="preserve"> </w:t>
      </w:r>
    </w:p>
    <w:p>
      <w:pPr>
        <w:pStyle w:val="style0"/>
        <w:jc w:val="both"/>
      </w:pPr>
      <w:r>
        <w:rPr/>
        <w:drawing>
          <wp:inline distB="0" distL="0" distR="0" distT="0">
            <wp:extent cx="5270500" cy="302577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2"/>
                    <a:srcRect/>
                    <a:stretch>
                      <a:fillRect/>
                    </a:stretch>
                  </pic:blipFill>
                  <pic:spPr bwMode="auto">
                    <a:xfrm>
                      <a:off x="0" y="0"/>
                      <a:ext cx="5270500" cy="302577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jc w:val="both"/>
      </w:pPr>
      <w:r>
        <w:rPr/>
        <w:drawing>
          <wp:inline distB="0" distL="0" distR="0" distT="0">
            <wp:extent cx="5270500" cy="302577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3"/>
                    <a:srcRect/>
                    <a:stretch>
                      <a:fillRect/>
                    </a:stretch>
                  </pic:blipFill>
                  <pic:spPr bwMode="auto">
                    <a:xfrm>
                      <a:off x="0" y="0"/>
                      <a:ext cx="5270500" cy="3025775"/>
                    </a:xfrm>
                    <a:prstGeom prst="rect">
                      <a:avLst/>
                    </a:prstGeom>
                    <a:noFill/>
                    <a:ln w="9525">
                      <a:noFill/>
                      <a:miter lim="800000"/>
                      <a:headEnd/>
                      <a:tailEnd/>
                    </a:ln>
                  </pic:spPr>
                </pic:pic>
              </a:graphicData>
            </a:graphic>
          </wp:inline>
        </w:drawing>
      </w:r>
    </w:p>
    <w:p>
      <w:pPr>
        <w:pStyle w:val="style0"/>
        <w:jc w:val="both"/>
      </w:pPr>
      <w:r>
        <w:rPr>
          <w:rFonts w:ascii="Times New Roman" w:cs="Times New Roman" w:hAnsi="Times New Roman"/>
        </w:rPr>
      </w:r>
    </w:p>
    <w:p>
      <w:pPr>
        <w:pStyle w:val="style0"/>
        <w:jc w:val="both"/>
      </w:pPr>
      <w:r>
        <w:rPr>
          <w:rFonts w:ascii="Times New Roman" w:cs="Times New Roman" w:hAnsi="Times New Roman"/>
        </w:rPr>
      </w:r>
    </w:p>
    <w:p>
      <w:pPr>
        <w:pStyle w:val="style0"/>
      </w:pPr>
      <w:r>
        <w:rPr>
          <w:rFonts w:ascii="Times New Roman" w:cs="Times New Roman" w:hAnsi="Times New Roman"/>
        </w:rPr>
      </w:r>
    </w:p>
    <w:p>
      <w:pPr>
        <w:pStyle w:val="style37"/>
        <w:pageBreakBefore/>
        <w:widowControl w:val="false"/>
        <w:numPr>
          <w:ilvl w:val="0"/>
          <w:numId w:val="5"/>
        </w:numPr>
        <w:tabs>
          <w:tab w:leader="none" w:pos="1280" w:val="left"/>
          <w:tab w:leader="none" w:pos="1840" w:val="left"/>
          <w:tab w:leader="none" w:pos="2400" w:val="left"/>
          <w:tab w:leader="none" w:pos="2960" w:val="left"/>
          <w:tab w:leader="none" w:pos="3520" w:val="left"/>
          <w:tab w:leader="none" w:pos="4080" w:val="left"/>
          <w:tab w:leader="none" w:pos="4640" w:val="left"/>
          <w:tab w:leader="none" w:pos="5200" w:val="left"/>
          <w:tab w:leader="none" w:pos="5760" w:val="left"/>
          <w:tab w:leader="none" w:pos="6320" w:val="left"/>
          <w:tab w:leader="none" w:pos="6880" w:val="left"/>
          <w:tab w:leader="none" w:pos="7440" w:val="left"/>
        </w:tabs>
      </w:pPr>
      <w:r>
        <w:rPr>
          <w:rFonts w:ascii="Calibri" w:cs="" w:hAnsi="Calibri"/>
          <w:b/>
          <w:bCs/>
          <w:color w:val="345A8A"/>
          <w:sz w:val="40"/>
          <w:szCs w:val="40"/>
        </w:rPr>
        <w:t>Concluding Remarks</w:t>
      </w:r>
    </w:p>
    <w:p>
      <w:pPr>
        <w:pStyle w:val="style37"/>
        <w:widowControl w:val="false"/>
        <w:tabs>
          <w:tab w:leader="none" w:pos="1280" w:val="left"/>
          <w:tab w:leader="none" w:pos="1840" w:val="left"/>
          <w:tab w:leader="none" w:pos="2400" w:val="left"/>
          <w:tab w:leader="none" w:pos="2960" w:val="left"/>
          <w:tab w:leader="none" w:pos="3520" w:val="left"/>
          <w:tab w:leader="none" w:pos="4080" w:val="left"/>
          <w:tab w:leader="none" w:pos="4640" w:val="left"/>
          <w:tab w:leader="none" w:pos="5200" w:val="left"/>
          <w:tab w:leader="none" w:pos="5760" w:val="left"/>
          <w:tab w:leader="none" w:pos="6320" w:val="left"/>
          <w:tab w:leader="none" w:pos="6880" w:val="left"/>
          <w:tab w:leader="none" w:pos="7440" w:val="left"/>
        </w:tabs>
      </w:pPr>
      <w:r>
        <w:rPr>
          <w:rFonts w:ascii="Calibri" w:cs="" w:hAnsi="Calibri"/>
          <w:b/>
          <w:bCs/>
          <w:color w:val="345A8A"/>
          <w:sz w:val="40"/>
          <w:szCs w:val="40"/>
        </w:rPr>
      </w:r>
    </w:p>
    <w:p>
      <w:pPr>
        <w:pStyle w:val="style0"/>
        <w:jc w:val="both"/>
      </w:pPr>
      <w:r>
        <w:rPr/>
        <w:t xml:space="preserve">The observational facilities considered in the present report cover a wide range of requirements in many different astrophysical fields. For this reason the instruments, the management, the call for proposal policy, the observational strategies and the average time needed for publishing the observational results can be extremely different between one facility and another. </w:t>
      </w:r>
    </w:p>
    <w:p>
      <w:pPr>
        <w:pStyle w:val="style0"/>
        <w:jc w:val="both"/>
      </w:pPr>
      <w:r>
        <w:rPr/>
        <w:t>Thus, any comparison between these observational facilities requires specific care and caution to avoid over-interpretation and misleading conclusions.</w:t>
      </w:r>
    </w:p>
    <w:p>
      <w:pPr>
        <w:pStyle w:val="style0"/>
        <w:jc w:val="both"/>
      </w:pPr>
      <w:r>
        <w:rPr/>
        <w:t>Nevertheless, one may want to evaluate and quantify the effectiveness of the Italian astrophysicists in making a productive use of these facilities in comparison with the world international astronomical community.</w:t>
      </w:r>
    </w:p>
    <w:p>
      <w:pPr>
        <w:pStyle w:val="style0"/>
        <w:jc w:val="both"/>
      </w:pPr>
      <w:r>
        <w:rPr/>
        <w:t xml:space="preserve">Keeping in mind the above warnings, a tentative comparison can be done by defining a handful of indicators for each single observational facility to monitor: i) the number of papers published by using each observational facility and the papers whose the first author is Italian, and ii) the quantity of observational time allocated per year and the fraction allocated to Italian P.I.s. </w:t>
      </w:r>
    </w:p>
    <w:p>
      <w:pPr>
        <w:pStyle w:val="style0"/>
        <w:jc w:val="both"/>
      </w:pPr>
      <w:r>
        <w:rPr/>
        <w:t xml:space="preserve">All these quantities are averaged – when possible – over a period covering the last 4-5 years. </w:t>
      </w:r>
    </w:p>
    <w:p>
      <w:pPr>
        <w:pStyle w:val="style0"/>
        <w:jc w:val="both"/>
      </w:pPr>
      <w:r>
        <w:rPr/>
      </w:r>
    </w:p>
    <w:p>
      <w:pPr>
        <w:pStyle w:val="style0"/>
        <w:jc w:val="both"/>
      </w:pPr>
      <w:r>
        <w:rPr/>
        <w:drawing>
          <wp:inline distB="0" distL="0" distR="0" distT="0">
            <wp:extent cx="5252085" cy="37592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4"/>
                    <a:srcRect/>
                    <a:stretch>
                      <a:fillRect/>
                    </a:stretch>
                  </pic:blipFill>
                  <pic:spPr bwMode="auto">
                    <a:xfrm>
                      <a:off x="0" y="0"/>
                      <a:ext cx="5252085" cy="3759200"/>
                    </a:xfrm>
                    <a:prstGeom prst="rect">
                      <a:avLst/>
                    </a:prstGeom>
                    <a:noFill/>
                    <a:ln w="9525">
                      <a:noFill/>
                      <a:miter lim="800000"/>
                      <a:headEnd/>
                      <a:tailEnd/>
                    </a:ln>
                  </pic:spPr>
                </pic:pic>
              </a:graphicData>
            </a:graphic>
          </wp:inline>
        </w:drawing>
      </w:r>
    </w:p>
    <w:p>
      <w:pPr>
        <w:pStyle w:val="style0"/>
        <w:jc w:val="both"/>
      </w:pPr>
      <w:r>
        <w:rPr/>
      </w:r>
    </w:p>
    <w:p>
      <w:pPr>
        <w:pStyle w:val="style0"/>
        <w:jc w:val="both"/>
      </w:pPr>
      <w:r>
        <w:rPr/>
        <w:t>Note that VST is included in the plot since the data on the allocated observational time are available (ESO) even if they refer to the last year and most of the Italian time is GTO.  Nevertheless, no search on refereed papers has been performed due to the short time since the facility has become available for science observations.</w:t>
      </w:r>
    </w:p>
    <w:p>
      <w:pPr>
        <w:pStyle w:val="style0"/>
        <w:jc w:val="both"/>
      </w:pPr>
      <w:r>
        <w:rPr/>
        <w:t>The IBIS facility is a special interferometer built in Italy (OA-Arcetri and Tor Vergata) and it is presently used for solar imaging spectroscopy &amp; polarimetry with spectral resolution R~200000. It is operating at the Dunn Solar Telescope (DST) of the National Solar Observatory (USA). Being a NSF facility, it is fully open to accept international proposals. It has been included to have a small insight in the field of the solar observations.</w:t>
      </w:r>
    </w:p>
    <w:p>
      <w:pPr>
        <w:pStyle w:val="style0"/>
        <w:jc w:val="both"/>
      </w:pPr>
      <w:r>
        <w:rPr/>
      </w:r>
    </w:p>
    <w:p>
      <w:pPr>
        <w:pStyle w:val="style0"/>
        <w:jc w:val="both"/>
      </w:pPr>
      <w:r>
        <w:rPr/>
        <w:drawing>
          <wp:inline distB="0" distL="0" distR="0" distT="0">
            <wp:extent cx="5138420" cy="352996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5"/>
                    <a:srcRect/>
                    <a:stretch>
                      <a:fillRect/>
                    </a:stretch>
                  </pic:blipFill>
                  <pic:spPr bwMode="auto">
                    <a:xfrm>
                      <a:off x="0" y="0"/>
                      <a:ext cx="5138420" cy="3529965"/>
                    </a:xfrm>
                    <a:prstGeom prst="rect">
                      <a:avLst/>
                    </a:prstGeom>
                    <a:noFill/>
                    <a:ln w="9525">
                      <a:noFill/>
                      <a:miter lim="800000"/>
                      <a:headEnd/>
                      <a:tailEnd/>
                    </a:ln>
                  </pic:spPr>
                </pic:pic>
              </a:graphicData>
            </a:graphic>
          </wp:inline>
        </w:drawing>
      </w:r>
    </w:p>
    <w:p>
      <w:pPr>
        <w:pStyle w:val="style0"/>
        <w:jc w:val="both"/>
      </w:pPr>
      <w:r>
        <w:rPr/>
      </w:r>
    </w:p>
    <w:p>
      <w:pPr>
        <w:pStyle w:val="style0"/>
        <w:jc w:val="both"/>
      </w:pPr>
      <w:r>
        <w:rPr/>
        <w:t xml:space="preserve">The relative ratios of these indicators for Italy and World provide a parameter which measures a sort of “efficiency” of using </w:t>
      </w:r>
      <w:r>
        <w:rPr>
          <w:i/>
        </w:rPr>
        <w:t>each single facility</w:t>
      </w:r>
      <w:r>
        <w:rPr/>
        <w:t xml:space="preserve"> by the Italian and by the World   astronomical communities. </w:t>
      </w:r>
    </w:p>
    <w:p>
      <w:pPr>
        <w:pStyle w:val="style0"/>
        <w:jc w:val="both"/>
      </w:pPr>
      <w:r>
        <w:rPr/>
        <w:t xml:space="preserve">In the following, relevant ratios of the quoted indicators are showed. </w:t>
      </w:r>
    </w:p>
    <w:p>
      <w:pPr>
        <w:pStyle w:val="style0"/>
        <w:jc w:val="both"/>
      </w:pPr>
      <w:r>
        <w:rPr/>
      </w:r>
    </w:p>
    <w:p>
      <w:pPr>
        <w:pStyle w:val="style0"/>
        <w:jc w:val="both"/>
      </w:pPr>
      <w:r>
        <w:rPr/>
        <w:drawing>
          <wp:inline distB="0" distL="0" distR="0" distT="0">
            <wp:extent cx="5252085" cy="29337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6"/>
                    <a:srcRect/>
                    <a:stretch>
                      <a:fillRect/>
                    </a:stretch>
                  </pic:blipFill>
                  <pic:spPr bwMode="auto">
                    <a:xfrm>
                      <a:off x="0" y="0"/>
                      <a:ext cx="5252085" cy="2933700"/>
                    </a:xfrm>
                    <a:prstGeom prst="rect">
                      <a:avLst/>
                    </a:prstGeom>
                    <a:noFill/>
                    <a:ln w="9525">
                      <a:noFill/>
                      <a:miter lim="800000"/>
                      <a:headEnd/>
                      <a:tailEnd/>
                    </a:ln>
                  </pic:spPr>
                </pic:pic>
              </a:graphicData>
            </a:graphic>
          </wp:inline>
        </w:drawing>
      </w:r>
    </w:p>
    <w:p>
      <w:pPr>
        <w:pStyle w:val="style0"/>
        <w:jc w:val="both"/>
      </w:pPr>
      <w:r>
        <w:rPr/>
      </w:r>
    </w:p>
    <w:p>
      <w:pPr>
        <w:pStyle w:val="style0"/>
        <w:jc w:val="both"/>
      </w:pPr>
      <w:r>
        <w:rPr/>
        <w:t>An effective way to synthesize the data is to plot the ratio between the Italian efficiency and the World efficiency. In particular, when this ratio for each single facility is larger than 1, it simply means that the Italy performance is better than the average performance of the World community operating with the same facility.</w:t>
      </w:r>
    </w:p>
    <w:p>
      <w:pPr>
        <w:pStyle w:val="style0"/>
        <w:jc w:val="both"/>
      </w:pPr>
      <w:r>
        <w:rPr/>
      </w:r>
    </w:p>
    <w:p>
      <w:pPr>
        <w:pStyle w:val="style0"/>
        <w:jc w:val="both"/>
      </w:pPr>
      <w:r>
        <w:rPr/>
        <w:drawing>
          <wp:inline distB="0" distL="0" distR="0" distT="0">
            <wp:extent cx="5252085" cy="316103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17"/>
                    <a:srcRect/>
                    <a:stretch>
                      <a:fillRect/>
                    </a:stretch>
                  </pic:blipFill>
                  <pic:spPr bwMode="auto">
                    <a:xfrm>
                      <a:off x="0" y="0"/>
                      <a:ext cx="5252085" cy="3161030"/>
                    </a:xfrm>
                    <a:prstGeom prst="rect">
                      <a:avLst/>
                    </a:prstGeom>
                    <a:noFill/>
                    <a:ln w="9525">
                      <a:noFill/>
                      <a:miter lim="800000"/>
                      <a:headEnd/>
                      <a:tailEnd/>
                    </a:ln>
                  </pic:spPr>
                </pic:pic>
              </a:graphicData>
            </a:graphic>
          </wp:inline>
        </w:drawing>
      </w:r>
    </w:p>
    <w:p>
      <w:pPr>
        <w:pStyle w:val="style0"/>
        <w:jc w:val="both"/>
      </w:pPr>
      <w:r>
        <w:rPr/>
      </w:r>
    </w:p>
    <w:p>
      <w:pPr>
        <w:pStyle w:val="style0"/>
        <w:jc w:val="both"/>
      </w:pPr>
      <w:r>
        <w:rPr/>
        <w:t xml:space="preserve">The results show a clear and significant excellence of Italian astrophysicist in leading successful research when compared to the overall international use of the examined observational facilities. </w:t>
      </w:r>
    </w:p>
    <w:p>
      <w:pPr>
        <w:pStyle w:val="style0"/>
        <w:jc w:val="both"/>
      </w:pPr>
      <w:r>
        <w:rPr/>
        <w:t xml:space="preserve">At least, two aspects can be enlightened: </w:t>
      </w:r>
    </w:p>
    <w:p>
      <w:pPr>
        <w:pStyle w:val="style0"/>
        <w:jc w:val="both"/>
      </w:pPr>
      <w:r>
        <w:rPr/>
        <w:t>first, the Italian astrophysicists are more efficient in obtaining and publishing scientific results from their observational time nearly for all the space and ground facilities analyzed in the present report.</w:t>
      </w:r>
    </w:p>
    <w:p>
      <w:pPr>
        <w:pStyle w:val="style0"/>
        <w:jc w:val="both"/>
      </w:pPr>
      <w:r>
        <w:rPr/>
        <w:t xml:space="preserve">Second, the Italian astronomical community appears flexible and ready to fully exploit the wide range of technical and scientific capabilities provided by the ground and space observational facilities. </w:t>
      </w:r>
    </w:p>
    <w:p>
      <w:pPr>
        <w:pStyle w:val="style0"/>
      </w:pPr>
      <w:r>
        <w:rPr>
          <w:rFonts w:ascii="Times New Roman" w:cs="Times New Roman" w:hAnsi="Times New Roman"/>
        </w:rPr>
      </w:r>
    </w:p>
    <w:p>
      <w:pPr>
        <w:pStyle w:val="style0"/>
        <w:jc w:val="both"/>
      </w:pPr>
      <w:r>
        <w:rPr/>
      </w:r>
    </w:p>
    <w:sectPr>
      <w:type w:val="nextPage"/>
      <w:pgSz w:h="16838" w:w="11906"/>
      <w:pgMar w:bottom="1440" w:footer="0" w:gutter="0" w:header="0" w:left="1800" w:right="1800" w:top="1440"/>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mbria">
    <w:charset w:val="80"/>
    <w:family w:val="roman"/>
    <w:pitch w:val="variable"/>
  </w:font>
  <w:font w:name="Symbol">
    <w:charset w:val="02"/>
    <w:family w:val="auto"/>
    <w:pitch w:val="variable"/>
  </w:font>
  <w:font w:name="Courier New">
    <w:charset w:val="80"/>
    <w:family w:val="modern"/>
    <w:pitch w:val="fixed"/>
  </w:font>
  <w:font w:name="Wingdings">
    <w:charset w:val="02"/>
    <w:family w:val="auto"/>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bullet"/>
      <w:lvlText w:val=""/>
      <w:lvlJc w:val="left"/>
      <w:pPr>
        <w:ind w:hanging="360" w:left="1440"/>
      </w:pPr>
      <w:rPr>
        <w:rFonts w:ascii="Symbol" w:cs="Symbol" w:hAnsi="Symbol" w:hint="default"/>
      </w:rPr>
    </w:lvl>
    <w:lvl w:ilvl="1">
      <w:start w:val="1"/>
      <w:numFmt w:val="bullet"/>
      <w:lvlText w:val="o"/>
      <w:lvlJc w:val="left"/>
      <w:pPr>
        <w:ind w:hanging="360" w:left="2160"/>
      </w:pPr>
      <w:rPr>
        <w:rFonts w:ascii="Courier New" w:cs="Courier New" w:hAnsi="Courier New" w:hint="default"/>
      </w:rPr>
    </w:lvl>
    <w:lvl w:ilvl="2">
      <w:start w:val="1"/>
      <w:numFmt w:val="bullet"/>
      <w:lvlText w:val=""/>
      <w:lvlJc w:val="left"/>
      <w:pPr>
        <w:ind w:hanging="360" w:left="2880"/>
      </w:pPr>
      <w:rPr>
        <w:rFonts w:ascii="Wingdings" w:cs="Wingdings" w:hAnsi="Wingdings" w:hint="default"/>
      </w:rPr>
    </w:lvl>
    <w:lvl w:ilvl="3">
      <w:start w:val="1"/>
      <w:numFmt w:val="bullet"/>
      <w:lvlText w:val=""/>
      <w:lvlJc w:val="left"/>
      <w:pPr>
        <w:ind w:hanging="360" w:left="3600"/>
      </w:pPr>
      <w:rPr>
        <w:rFonts w:ascii="Symbol" w:cs="Symbol" w:hAnsi="Symbol" w:hint="default"/>
      </w:rPr>
    </w:lvl>
    <w:lvl w:ilvl="4">
      <w:start w:val="1"/>
      <w:numFmt w:val="bullet"/>
      <w:lvlText w:val="o"/>
      <w:lvlJc w:val="left"/>
      <w:pPr>
        <w:ind w:hanging="360" w:left="4320"/>
      </w:pPr>
      <w:rPr>
        <w:rFonts w:ascii="Courier New" w:cs="Courier New" w:hAnsi="Courier New" w:hint="default"/>
      </w:rPr>
    </w:lvl>
    <w:lvl w:ilvl="5">
      <w:start w:val="1"/>
      <w:numFmt w:val="bullet"/>
      <w:lvlText w:val=""/>
      <w:lvlJc w:val="left"/>
      <w:pPr>
        <w:ind w:hanging="360" w:left="5040"/>
      </w:pPr>
      <w:rPr>
        <w:rFonts w:ascii="Wingdings" w:cs="Wingdings" w:hAnsi="Wingdings" w:hint="default"/>
      </w:rPr>
    </w:lvl>
    <w:lvl w:ilvl="6">
      <w:start w:val="1"/>
      <w:numFmt w:val="bullet"/>
      <w:lvlText w:val=""/>
      <w:lvlJc w:val="left"/>
      <w:pPr>
        <w:ind w:hanging="360" w:left="5760"/>
      </w:pPr>
      <w:rPr>
        <w:rFonts w:ascii="Symbol" w:cs="Symbol" w:hAnsi="Symbol" w:hint="default"/>
      </w:rPr>
    </w:lvl>
    <w:lvl w:ilvl="7">
      <w:start w:val="1"/>
      <w:numFmt w:val="bullet"/>
      <w:lvlText w:val="o"/>
      <w:lvlJc w:val="left"/>
      <w:pPr>
        <w:ind w:hanging="360" w:left="6480"/>
      </w:pPr>
      <w:rPr>
        <w:rFonts w:ascii="Courier New" w:cs="Courier New" w:hAnsi="Courier New" w:hint="default"/>
      </w:rPr>
    </w:lvl>
    <w:lvl w:ilvl="8">
      <w:start w:val="1"/>
      <w:numFmt w:val="bullet"/>
      <w:lvlText w:val=""/>
      <w:lvlJc w:val="left"/>
      <w:pPr>
        <w:ind w:hanging="360" w:left="7200"/>
      </w:pPr>
      <w:rPr>
        <w:rFonts w:ascii="Wingdings" w:cs="Wingdings" w:hAnsi="Wingdings" w:hint="default"/>
      </w:rPr>
    </w:lvl>
  </w:abstractNum>
  <w:abstractNum w:abstractNumId="3">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4">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7">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pPr>
    <w:rPr>
      <w:rFonts w:ascii="Cambria" w:cs="" w:eastAsia="WenQuanYi Micro Hei" w:hAnsi="Cambria"/>
      <w:color w:val="auto"/>
      <w:sz w:val="24"/>
      <w:szCs w:val="24"/>
      <w:lang w:bidi="ar-SA" w:eastAsia="en-US" w:val="en-US"/>
    </w:rPr>
  </w:style>
  <w:style w:styleId="style1" w:type="paragraph">
    <w:name w:val="Heading 1"/>
    <w:basedOn w:val="style0"/>
    <w:next w:val="style33"/>
    <w:pPr>
      <w:keepNext/>
      <w:keepLines/>
      <w:spacing w:after="0" w:before="480"/>
    </w:pPr>
    <w:rPr>
      <w:rFonts w:ascii="Calibri" w:cs="" w:hAnsi="Calibri"/>
      <w:b/>
      <w:bCs/>
      <w:color w:val="345A8A"/>
      <w:sz w:val="32"/>
      <w:szCs w:val="32"/>
    </w:rPr>
  </w:style>
  <w:style w:styleId="style2" w:type="paragraph">
    <w:name w:val="Heading 2"/>
    <w:basedOn w:val="style0"/>
    <w:next w:val="style33"/>
    <w:pPr>
      <w:keepNext/>
      <w:keepLines/>
      <w:numPr>
        <w:ilvl w:val="1"/>
        <w:numId w:val="1"/>
      </w:numPr>
      <w:spacing w:after="0" w:before="200"/>
      <w:outlineLvl w:val="1"/>
    </w:pPr>
    <w:rPr>
      <w:rFonts w:ascii="Calibri" w:cs="" w:hAnsi="Calibri"/>
      <w:b/>
      <w:bCs/>
      <w:color w:val="4F81BD"/>
      <w:sz w:val="26"/>
      <w:szCs w:val="26"/>
    </w:rPr>
  </w:style>
  <w:style w:styleId="style3" w:type="paragraph">
    <w:name w:val="Heading 3"/>
    <w:basedOn w:val="style0"/>
    <w:next w:val="style33"/>
    <w:pPr>
      <w:keepNext/>
      <w:keepLines/>
      <w:numPr>
        <w:ilvl w:val="2"/>
        <w:numId w:val="1"/>
      </w:numPr>
      <w:spacing w:after="0" w:before="200"/>
      <w:outlineLvl w:val="2"/>
    </w:pPr>
    <w:rPr>
      <w:rFonts w:ascii="Calibri" w:cs="" w:hAnsi="Calibri"/>
      <w:b/>
      <w:bCs/>
      <w:color w:val="4F81BD"/>
    </w:rPr>
  </w:style>
  <w:style w:styleId="style4" w:type="paragraph">
    <w:name w:val="Heading 4"/>
    <w:basedOn w:val="style0"/>
    <w:next w:val="style33"/>
    <w:pPr>
      <w:keepNext/>
      <w:keepLines/>
      <w:numPr>
        <w:ilvl w:val="3"/>
        <w:numId w:val="1"/>
      </w:numPr>
      <w:spacing w:after="0" w:before="200"/>
      <w:outlineLvl w:val="3"/>
    </w:pPr>
    <w:rPr>
      <w:rFonts w:ascii="Calibri" w:cs="" w:hAnsi="Calibri"/>
      <w:b/>
      <w:bCs/>
      <w:i/>
      <w:iCs/>
      <w:color w:val="4F81BD"/>
    </w:rPr>
  </w:style>
  <w:style w:styleId="style15" w:type="character">
    <w:name w:val="Default Paragraph Font"/>
    <w:next w:val="style15"/>
    <w:rPr/>
  </w:style>
  <w:style w:styleId="style16" w:type="character">
    <w:name w:val="Balloon Text Char"/>
    <w:basedOn w:val="style15"/>
    <w:next w:val="style16"/>
    <w:rPr>
      <w:rFonts w:ascii="Lucida Grande" w:cs="Lucida Grande" w:hAnsi="Lucida Grande"/>
      <w:sz w:val="18"/>
      <w:szCs w:val="18"/>
    </w:rPr>
  </w:style>
  <w:style w:styleId="style17" w:type="character">
    <w:name w:val="Internet Link"/>
    <w:basedOn w:val="style15"/>
    <w:next w:val="style17"/>
    <w:rPr>
      <w:color w:val="0000FF"/>
      <w:u w:val="single"/>
      <w:lang w:bidi="en-US" w:eastAsia="en-US" w:val="en-US"/>
    </w:rPr>
  </w:style>
  <w:style w:styleId="style18" w:type="character">
    <w:name w:val="Header Char"/>
    <w:basedOn w:val="style15"/>
    <w:next w:val="style18"/>
    <w:rPr/>
  </w:style>
  <w:style w:styleId="style19" w:type="character">
    <w:name w:val="Footer Char"/>
    <w:basedOn w:val="style15"/>
    <w:next w:val="style19"/>
    <w:rPr/>
  </w:style>
  <w:style w:styleId="style20" w:type="character">
    <w:name w:val="Heading 1 Char"/>
    <w:basedOn w:val="style15"/>
    <w:next w:val="style20"/>
    <w:rPr>
      <w:rFonts w:ascii="Calibri" w:cs="" w:hAnsi="Calibri"/>
      <w:b/>
      <w:bCs/>
      <w:color w:val="345A8A"/>
      <w:sz w:val="32"/>
      <w:szCs w:val="32"/>
    </w:rPr>
  </w:style>
  <w:style w:styleId="style21" w:type="character">
    <w:name w:val="Heading 2 Char"/>
    <w:basedOn w:val="style15"/>
    <w:next w:val="style21"/>
    <w:rPr>
      <w:rFonts w:ascii="Calibri" w:cs="" w:hAnsi="Calibri"/>
      <w:b/>
      <w:bCs/>
      <w:color w:val="4F81BD"/>
      <w:sz w:val="26"/>
      <w:szCs w:val="26"/>
    </w:rPr>
  </w:style>
  <w:style w:styleId="style22" w:type="character">
    <w:name w:val="Title Char"/>
    <w:basedOn w:val="style15"/>
    <w:next w:val="style22"/>
    <w:rPr>
      <w:rFonts w:ascii="Calibri" w:cs="" w:hAnsi="Calibri"/>
      <w:color w:val="17365D"/>
      <w:spacing w:val="5"/>
      <w:sz w:val="52"/>
      <w:szCs w:val="52"/>
    </w:rPr>
  </w:style>
  <w:style w:styleId="style23" w:type="character">
    <w:name w:val="Subtitle Char"/>
    <w:basedOn w:val="style15"/>
    <w:next w:val="style23"/>
    <w:rPr>
      <w:rFonts w:ascii="Calibri" w:cs="" w:hAnsi="Calibri"/>
      <w:i/>
      <w:iCs/>
      <w:color w:val="4F81BD"/>
      <w:spacing w:val="15"/>
    </w:rPr>
  </w:style>
  <w:style w:styleId="style24" w:type="character">
    <w:name w:val="Heading 3 Char"/>
    <w:basedOn w:val="style15"/>
    <w:next w:val="style24"/>
    <w:rPr>
      <w:rFonts w:ascii="Calibri" w:cs="" w:hAnsi="Calibri"/>
      <w:b/>
      <w:bCs/>
      <w:color w:val="4F81BD"/>
    </w:rPr>
  </w:style>
  <w:style w:styleId="style25" w:type="character">
    <w:name w:val="Heading 4 Char"/>
    <w:basedOn w:val="style15"/>
    <w:next w:val="style25"/>
    <w:rPr>
      <w:rFonts w:ascii="Calibri" w:cs="" w:hAnsi="Calibri"/>
      <w:b/>
      <w:bCs/>
      <w:i/>
      <w:iCs/>
      <w:color w:val="4F81BD"/>
    </w:rPr>
  </w:style>
  <w:style w:styleId="style26" w:type="character">
    <w:name w:val="Footnote Text Char"/>
    <w:basedOn w:val="style15"/>
    <w:next w:val="style26"/>
    <w:rPr/>
  </w:style>
  <w:style w:styleId="style27" w:type="character">
    <w:name w:val="footnote reference"/>
    <w:basedOn w:val="style15"/>
    <w:next w:val="style27"/>
    <w:rPr>
      <w:vertAlign w:val="superscript"/>
    </w:rPr>
  </w:style>
  <w:style w:styleId="style28" w:type="character">
    <w:name w:val="FollowedHyperlink"/>
    <w:basedOn w:val="style15"/>
    <w:next w:val="style28"/>
    <w:rPr>
      <w:color w:val="800080"/>
      <w:u w:val="single"/>
    </w:rPr>
  </w:style>
  <w:style w:styleId="style29" w:type="character">
    <w:name w:val="ListLabel 1"/>
    <w:next w:val="style29"/>
    <w:rPr>
      <w:rFonts w:cs="Times New Roman"/>
    </w:rPr>
  </w:style>
  <w:style w:styleId="style30" w:type="character">
    <w:name w:val="ListLabel 2"/>
    <w:next w:val="style30"/>
    <w:rPr>
      <w:rFonts w:cs="Courier New"/>
    </w:rPr>
  </w:style>
  <w:style w:styleId="style31" w:type="character">
    <w:name w:val="ListLabel 3"/>
    <w:next w:val="style31"/>
    <w:rPr>
      <w:sz w:val="20"/>
    </w:rPr>
  </w:style>
  <w:style w:styleId="style32" w:type="paragraph">
    <w:name w:val="Heading"/>
    <w:basedOn w:val="style0"/>
    <w:next w:val="style33"/>
    <w:pPr>
      <w:keepNext/>
      <w:spacing w:after="120" w:before="240"/>
    </w:pPr>
    <w:rPr>
      <w:rFonts w:ascii="Liberation Sans" w:cs="Lohit Hindi" w:eastAsia="WenQuanYi Micro Hei" w:hAnsi="Liberation Sans"/>
      <w:sz w:val="28"/>
      <w:szCs w:val="28"/>
    </w:rPr>
  </w:style>
  <w:style w:styleId="style33" w:type="paragraph">
    <w:name w:val="Text body"/>
    <w:basedOn w:val="style0"/>
    <w:next w:val="style33"/>
    <w:pPr>
      <w:spacing w:after="120" w:before="0"/>
    </w:pPr>
    <w:rPr/>
  </w:style>
  <w:style w:styleId="style34" w:type="paragraph">
    <w:name w:val="List"/>
    <w:basedOn w:val="style33"/>
    <w:next w:val="style34"/>
    <w:pPr/>
    <w:rPr>
      <w:rFonts w:cs="Lohit Hindi"/>
    </w:rPr>
  </w:style>
  <w:style w:styleId="style35" w:type="paragraph">
    <w:name w:val="Caption"/>
    <w:basedOn w:val="style0"/>
    <w:next w:val="style35"/>
    <w:pPr>
      <w:suppressLineNumbers/>
      <w:spacing w:after="120" w:before="120"/>
    </w:pPr>
    <w:rPr>
      <w:rFonts w:cs="Lohit Hindi"/>
      <w:i/>
      <w:iCs/>
      <w:sz w:val="24"/>
      <w:szCs w:val="24"/>
    </w:rPr>
  </w:style>
  <w:style w:styleId="style36" w:type="paragraph">
    <w:name w:val="Index"/>
    <w:basedOn w:val="style0"/>
    <w:next w:val="style36"/>
    <w:pPr>
      <w:suppressLineNumbers/>
    </w:pPr>
    <w:rPr>
      <w:rFonts w:cs="Lohit Hindi"/>
    </w:rPr>
  </w:style>
  <w:style w:styleId="style37" w:type="paragraph">
    <w:name w:val="List Paragraph"/>
    <w:basedOn w:val="style0"/>
    <w:next w:val="style37"/>
    <w:pPr>
      <w:ind w:hanging="0" w:left="720" w:right="0"/>
    </w:pPr>
    <w:rPr/>
  </w:style>
  <w:style w:styleId="style38" w:type="paragraph">
    <w:name w:val="Balloon Text"/>
    <w:basedOn w:val="style0"/>
    <w:next w:val="style38"/>
    <w:pPr/>
    <w:rPr>
      <w:rFonts w:ascii="Lucida Grande" w:cs="Lucida Grande" w:hAnsi="Lucida Grande"/>
      <w:sz w:val="18"/>
      <w:szCs w:val="18"/>
    </w:rPr>
  </w:style>
  <w:style w:styleId="style39" w:type="paragraph">
    <w:name w:val="Header"/>
    <w:basedOn w:val="style0"/>
    <w:next w:val="style39"/>
    <w:pPr>
      <w:suppressLineNumbers/>
      <w:tabs>
        <w:tab w:leader="none" w:pos="4320" w:val="center"/>
        <w:tab w:leader="none" w:pos="8640" w:val="right"/>
      </w:tabs>
    </w:pPr>
    <w:rPr/>
  </w:style>
  <w:style w:styleId="style40" w:type="paragraph">
    <w:name w:val="Footer"/>
    <w:basedOn w:val="style0"/>
    <w:next w:val="style40"/>
    <w:pPr>
      <w:suppressLineNumbers/>
      <w:tabs>
        <w:tab w:leader="none" w:pos="4320" w:val="center"/>
        <w:tab w:leader="none" w:pos="8640" w:val="right"/>
      </w:tabs>
    </w:pPr>
    <w:rPr/>
  </w:style>
  <w:style w:styleId="style41" w:type="paragraph">
    <w:name w:val="Title"/>
    <w:basedOn w:val="style0"/>
    <w:next w:val="style42"/>
    <w:pPr>
      <w:pBdr>
        <w:bottom w:color="4F81BD" w:space="0" w:sz="8" w:val="single"/>
      </w:pBdr>
      <w:spacing w:after="300" w:before="0"/>
      <w:jc w:val="center"/>
    </w:pPr>
    <w:rPr>
      <w:rFonts w:ascii="Calibri" w:cs="" w:hAnsi="Calibri"/>
      <w:b/>
      <w:bCs/>
      <w:color w:val="17365D"/>
      <w:spacing w:val="5"/>
      <w:sz w:val="52"/>
      <w:szCs w:val="52"/>
    </w:rPr>
  </w:style>
  <w:style w:styleId="style42" w:type="paragraph">
    <w:name w:val="Subtitle"/>
    <w:basedOn w:val="style0"/>
    <w:next w:val="style33"/>
    <w:pPr>
      <w:jc w:val="center"/>
    </w:pPr>
    <w:rPr>
      <w:rFonts w:ascii="Calibri" w:cs="" w:hAnsi="Calibri"/>
      <w:i/>
      <w:iCs/>
      <w:color w:val="4F81BD"/>
      <w:spacing w:val="15"/>
      <w:sz w:val="28"/>
      <w:szCs w:val="28"/>
    </w:rPr>
  </w:style>
  <w:style w:styleId="style43" w:type="paragraph">
    <w:name w:val="Contents Heading"/>
    <w:basedOn w:val="style1"/>
    <w:next w:val="style43"/>
    <w:pPr>
      <w:suppressLineNumbers/>
      <w:spacing w:line="276" w:lineRule="auto"/>
    </w:pPr>
    <w:rPr>
      <w:b/>
      <w:bCs/>
      <w:color w:val="365F91"/>
      <w:sz w:val="28"/>
      <w:szCs w:val="28"/>
    </w:rPr>
  </w:style>
  <w:style w:styleId="style44" w:type="paragraph">
    <w:name w:val="Contents 1"/>
    <w:basedOn w:val="style0"/>
    <w:next w:val="style44"/>
    <w:pPr>
      <w:tabs>
        <w:tab w:leader="dot" w:pos="9972" w:val="right"/>
      </w:tabs>
      <w:spacing w:after="0" w:before="120"/>
      <w:ind w:hanging="0" w:left="0" w:right="0"/>
    </w:pPr>
    <w:rPr>
      <w:b/>
    </w:rPr>
  </w:style>
  <w:style w:styleId="style45" w:type="paragraph">
    <w:name w:val="Contents 2"/>
    <w:basedOn w:val="style0"/>
    <w:next w:val="style45"/>
    <w:pPr>
      <w:tabs>
        <w:tab w:leader="dot" w:pos="9929" w:val="right"/>
      </w:tabs>
      <w:ind w:hanging="0" w:left="240" w:right="0"/>
    </w:pPr>
    <w:rPr>
      <w:b/>
      <w:sz w:val="22"/>
      <w:szCs w:val="22"/>
    </w:rPr>
  </w:style>
  <w:style w:styleId="style46" w:type="paragraph">
    <w:name w:val="Contents 3"/>
    <w:basedOn w:val="style0"/>
    <w:next w:val="style46"/>
    <w:pPr>
      <w:tabs>
        <w:tab w:leader="dot" w:pos="9886" w:val="right"/>
      </w:tabs>
      <w:ind w:hanging="0" w:left="480" w:right="0"/>
    </w:pPr>
    <w:rPr>
      <w:sz w:val="22"/>
      <w:szCs w:val="22"/>
    </w:rPr>
  </w:style>
  <w:style w:styleId="style47" w:type="paragraph">
    <w:name w:val="Contents 4"/>
    <w:basedOn w:val="style0"/>
    <w:next w:val="style47"/>
    <w:pPr>
      <w:tabs>
        <w:tab w:leader="dot" w:pos="9843" w:val="right"/>
      </w:tabs>
      <w:ind w:hanging="0" w:left="720" w:right="0"/>
    </w:pPr>
    <w:rPr>
      <w:sz w:val="20"/>
      <w:szCs w:val="20"/>
    </w:rPr>
  </w:style>
  <w:style w:styleId="style48" w:type="paragraph">
    <w:name w:val="Contents 5"/>
    <w:basedOn w:val="style0"/>
    <w:next w:val="style48"/>
    <w:pPr>
      <w:tabs>
        <w:tab w:leader="dot" w:pos="9800" w:val="right"/>
      </w:tabs>
      <w:ind w:hanging="0" w:left="960" w:right="0"/>
    </w:pPr>
    <w:rPr>
      <w:sz w:val="20"/>
      <w:szCs w:val="20"/>
    </w:rPr>
  </w:style>
  <w:style w:styleId="style49" w:type="paragraph">
    <w:name w:val="Contents 6"/>
    <w:basedOn w:val="style0"/>
    <w:next w:val="style49"/>
    <w:pPr>
      <w:tabs>
        <w:tab w:leader="dot" w:pos="9757" w:val="right"/>
      </w:tabs>
      <w:ind w:hanging="0" w:left="1200" w:right="0"/>
    </w:pPr>
    <w:rPr>
      <w:sz w:val="20"/>
      <w:szCs w:val="20"/>
    </w:rPr>
  </w:style>
  <w:style w:styleId="style50" w:type="paragraph">
    <w:name w:val="Contents 7"/>
    <w:basedOn w:val="style0"/>
    <w:next w:val="style50"/>
    <w:pPr>
      <w:tabs>
        <w:tab w:leader="dot" w:pos="9714" w:val="right"/>
      </w:tabs>
      <w:ind w:hanging="0" w:left="1440" w:right="0"/>
    </w:pPr>
    <w:rPr>
      <w:sz w:val="20"/>
      <w:szCs w:val="20"/>
    </w:rPr>
  </w:style>
  <w:style w:styleId="style51" w:type="paragraph">
    <w:name w:val="Contents 8"/>
    <w:basedOn w:val="style0"/>
    <w:next w:val="style51"/>
    <w:pPr>
      <w:tabs>
        <w:tab w:leader="dot" w:pos="9671" w:val="right"/>
      </w:tabs>
      <w:ind w:hanging="0" w:left="1680" w:right="0"/>
    </w:pPr>
    <w:rPr>
      <w:sz w:val="20"/>
      <w:szCs w:val="20"/>
    </w:rPr>
  </w:style>
  <w:style w:styleId="style52" w:type="paragraph">
    <w:name w:val="Contents 9"/>
    <w:basedOn w:val="style0"/>
    <w:next w:val="style52"/>
    <w:pPr>
      <w:tabs>
        <w:tab w:leader="dot" w:pos="9628" w:val="right"/>
      </w:tabs>
      <w:ind w:hanging="0" w:left="1920" w:right="0"/>
    </w:pPr>
    <w:rPr>
      <w:sz w:val="20"/>
      <w:szCs w:val="20"/>
    </w:rPr>
  </w:style>
  <w:style w:styleId="style53" w:type="paragraph">
    <w:name w:val="footnote text"/>
    <w:basedOn w:val="style0"/>
    <w:next w:val="style5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telbib.eso.org/"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hyperlink" Target="http://fermi.gsfc.nasa.gov/science/instruments/lat.html" TargetMode="External"/><Relationship Id="rId10" Type="http://schemas.openxmlformats.org/officeDocument/2006/relationships/hyperlink" Target="http://fermi.gsfc.nasa.gov/science/instruments/gbm.html" TargetMode="External"/><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hyperlink" Target="http://herschel.esac.esa.int/AO-2_Programmes.shtml" TargetMode="External"/><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hyperlink" Target="http://lbt.oa-roma.inaf.it/science.html" TargetMode="External"/><Relationship Id="rId74" Type="http://schemas.openxmlformats.org/officeDocument/2006/relationships/image" Target="media/image68.png"/><Relationship Id="rId75" Type="http://schemas.openxmlformats.org/officeDocument/2006/relationships/image" Target="media/image69.png"/><Relationship Id="rId76" Type="http://schemas.openxmlformats.org/officeDocument/2006/relationships/image" Target="media/image70.png"/><Relationship Id="rId77" Type="http://schemas.openxmlformats.org/officeDocument/2006/relationships/image" Target="media/image71.png"/><Relationship Id="rId78" Type="http://schemas.openxmlformats.org/officeDocument/2006/relationships/image" Target="media/image72.png"/><Relationship Id="rId79" Type="http://schemas.openxmlformats.org/officeDocument/2006/relationships/image" Target="media/image73.png"/><Relationship Id="rId80" Type="http://schemas.openxmlformats.org/officeDocument/2006/relationships/image" Target="media/image74.png"/><Relationship Id="rId81" Type="http://schemas.openxmlformats.org/officeDocument/2006/relationships/hyperlink" Target="http://www.ira.inaf.it/~brand/medicina-pubs.html" TargetMode="External"/><Relationship Id="rId82" Type="http://schemas.openxmlformats.org/officeDocument/2006/relationships/hyperlink" Target="http://www.ira.inaf.it/~mgirolet/pubs/vlbi.html" TargetMode="External"/><Relationship Id="rId83" Type="http://schemas.openxmlformats.org/officeDocument/2006/relationships/image" Target="media/image75.png"/><Relationship Id="rId84" Type="http://schemas.openxmlformats.org/officeDocument/2006/relationships/image" Target="media/image76.png"/><Relationship Id="rId85" Type="http://schemas.openxmlformats.org/officeDocument/2006/relationships/image" Target="media/image77.png"/><Relationship Id="rId86" Type="http://schemas.openxmlformats.org/officeDocument/2006/relationships/image" Target="media/image78.png"/><Relationship Id="rId87" Type="http://schemas.openxmlformats.org/officeDocument/2006/relationships/image" Target="media/image79.png"/><Relationship Id="rId88" Type="http://schemas.openxmlformats.org/officeDocument/2006/relationships/image" Target="media/image80.png"/><Relationship Id="rId89" Type="http://schemas.openxmlformats.org/officeDocument/2006/relationships/hyperlink" Target="http://www.eso.org/sci/facilities.html" TargetMode="External"/><Relationship Id="rId90" Type="http://schemas.openxmlformats.org/officeDocument/2006/relationships/image" Target="media/image81.wmf"/><Relationship Id="rId91" Type="http://schemas.openxmlformats.org/officeDocument/2006/relationships/image" Target="media/image82.png"/><Relationship Id="rId92" Type="http://schemas.openxmlformats.org/officeDocument/2006/relationships/image" Target="media/image83.png"/><Relationship Id="rId93" Type="http://schemas.openxmlformats.org/officeDocument/2006/relationships/image" Target="media/image84.png"/><Relationship Id="rId94" Type="http://schemas.openxmlformats.org/officeDocument/2006/relationships/image" Target="media/image85.png"/><Relationship Id="rId95" Type="http://schemas.openxmlformats.org/officeDocument/2006/relationships/image" Target="media/image86.png"/><Relationship Id="rId96" Type="http://schemas.openxmlformats.org/officeDocument/2006/relationships/image" Target="media/image87.png"/><Relationship Id="rId97" Type="http://schemas.openxmlformats.org/officeDocument/2006/relationships/image" Target="media/image88.png"/><Relationship Id="rId98" Type="http://schemas.openxmlformats.org/officeDocument/2006/relationships/image" Target="media/image89.png"/><Relationship Id="rId99" Type="http://schemas.openxmlformats.org/officeDocument/2006/relationships/image" Target="media/image90.png"/><Relationship Id="rId100" Type="http://schemas.openxmlformats.org/officeDocument/2006/relationships/image" Target="media/image91.png"/><Relationship Id="rId101" Type="http://schemas.openxmlformats.org/officeDocument/2006/relationships/image" Target="media/image92.png"/><Relationship Id="rId102" Type="http://schemas.openxmlformats.org/officeDocument/2006/relationships/image" Target="media/image93.png"/><Relationship Id="rId103" Type="http://schemas.openxmlformats.org/officeDocument/2006/relationships/image" Target="media/image94.png"/><Relationship Id="rId104" Type="http://schemas.openxmlformats.org/officeDocument/2006/relationships/image" Target="media/image95.png"/><Relationship Id="rId105" Type="http://schemas.openxmlformats.org/officeDocument/2006/relationships/image" Target="media/image96.png"/><Relationship Id="rId106" Type="http://schemas.openxmlformats.org/officeDocument/2006/relationships/image" Target="media/image97.png"/><Relationship Id="rId107" Type="http://schemas.openxmlformats.org/officeDocument/2006/relationships/image" Target="media/image98.png"/><Relationship Id="rId108" Type="http://schemas.openxmlformats.org/officeDocument/2006/relationships/image" Target="media/image99.png"/><Relationship Id="rId109" Type="http://schemas.openxmlformats.org/officeDocument/2006/relationships/image" Target="media/image100.png"/><Relationship Id="rId110" Type="http://schemas.openxmlformats.org/officeDocument/2006/relationships/image" Target="media/image101.png"/><Relationship Id="rId111" Type="http://schemas.openxmlformats.org/officeDocument/2006/relationships/hyperlink" Target="http://telbib.eso.org/" TargetMode="External"/><Relationship Id="rId112" Type="http://schemas.openxmlformats.org/officeDocument/2006/relationships/image" Target="media/image102.png"/><Relationship Id="rId113" Type="http://schemas.openxmlformats.org/officeDocument/2006/relationships/image" Target="media/image103.png"/><Relationship Id="rId114" Type="http://schemas.openxmlformats.org/officeDocument/2006/relationships/image" Target="media/image104.png"/><Relationship Id="rId115" Type="http://schemas.openxmlformats.org/officeDocument/2006/relationships/image" Target="media/image105.png"/><Relationship Id="rId116" Type="http://schemas.openxmlformats.org/officeDocument/2006/relationships/image" Target="media/image106.png"/><Relationship Id="rId117" Type="http://schemas.openxmlformats.org/officeDocument/2006/relationships/image" Target="media/image107.png"/><Relationship Id="rId118" Type="http://schemas.openxmlformats.org/officeDocument/2006/relationships/numbering" Target="numbering.xml"/><Relationship Id="rId119"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2013-11-22T09:52:00.00Z</dcterms:created>
  <dc:creator>Enzo Brocato</dc:creator>
  <cp:lastModifiedBy>Enzo Brocato</cp:lastModifiedBy>
  <cp:lastPrinted>2013-06-02T17:57:00.00Z</cp:lastPrinted>
  <dcterms:modified xsi:type="dcterms:W3CDTF">2015-01-08T11:51:00.00Z</dcterms:modified>
  <cp:revision>5</cp:revision>
</cp:coreProperties>
</file>